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5D2E552C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355EB1">
        <w:rPr>
          <w:rStyle w:val="usercontent"/>
          <w:rFonts w:ascii="Segoe Pro" w:hAnsi="Segoe Pro"/>
          <w:color w:val="2C5697"/>
        </w:rPr>
        <w:t>26 mai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5F56CC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20F67ED9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355EB1">
        <w:rPr>
          <w:rFonts w:ascii="Segoe Pro" w:hAnsi="Segoe Pro"/>
        </w:rPr>
        <w:t>26 mai</w:t>
      </w:r>
      <w:r w:rsidR="00BD635B" w:rsidRPr="002067FC">
        <w:rPr>
          <w:rFonts w:ascii="Segoe Pro" w:hAnsi="Segoe Pro"/>
        </w:rPr>
        <w:t xml:space="preserve"> 202</w:t>
      </w:r>
      <w:r w:rsidR="005F56CC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56F00320" w:rsidR="00484F8F" w:rsidRPr="0078409A" w:rsidRDefault="00E7131F" w:rsidP="00484F8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Une délégation du Conseil se rendra à un 5 à 7 à Queen’s Park le 28 mai dans le cadre du congrès annuel de l’Association franco-ontarienne des conseils scolaires catholiques (AFOCSC).</w:t>
      </w:r>
    </w:p>
    <w:p w14:paraId="44554BF9" w14:textId="2AD1FA7C" w:rsidR="00A62251" w:rsidRDefault="00897517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Conseil entérine les deux candidatures pour le Prix de contribution exceptionnelle 2025.</w:t>
      </w:r>
    </w:p>
    <w:p w14:paraId="6F00102B" w14:textId="4BA8F4C3" w:rsidR="003D36D2" w:rsidRDefault="003D36D2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Le Conseil approuve les politiques suivantes selon le cycle de révision :</w:t>
      </w:r>
    </w:p>
    <w:p w14:paraId="1DB3B3D8" w14:textId="77777777" w:rsidR="00404E0D" w:rsidRPr="00033446" w:rsidRDefault="00404E0D" w:rsidP="00033446">
      <w:pPr>
        <w:numPr>
          <w:ilvl w:val="0"/>
          <w:numId w:val="23"/>
        </w:numPr>
        <w:tabs>
          <w:tab w:val="left" w:pos="1260"/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hyperlink r:id="rId8" w:tooltip="Politique d'engagement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1.0 Engagement envers l’éducation catholique de langue française</w:t>
        </w:r>
      </w:hyperlink>
      <w:r w:rsidRPr="00033446">
        <w:rPr>
          <w:sz w:val="22"/>
          <w:szCs w:val="20"/>
        </w:rPr>
        <w:t xml:space="preserve"> </w:t>
      </w:r>
      <w:r w:rsidRPr="00033446">
        <w:rPr>
          <w:rFonts w:ascii="Segoe Pro" w:hAnsi="Segoe Pro"/>
          <w:sz w:val="22"/>
          <w:szCs w:val="20"/>
        </w:rPr>
        <w:t>(révision)</w:t>
      </w:r>
    </w:p>
    <w:p w14:paraId="12071DAB" w14:textId="7F15E5C6" w:rsidR="00404E0D" w:rsidRPr="00033446" w:rsidRDefault="00404E0D" w:rsidP="00033446">
      <w:pPr>
        <w:numPr>
          <w:ilvl w:val="0"/>
          <w:numId w:val="23"/>
        </w:numPr>
        <w:tabs>
          <w:tab w:val="left" w:pos="1260"/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hyperlink r:id="rId9" w:tooltip="Politique du milieu accueillant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2.0 Milieu accueillant, engageant, novateur, durable, sain et sécuritaire</w:t>
        </w:r>
        <w:r w:rsidR="00A06369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br/>
        </w:r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centré sur le Christ</w:t>
        </w:r>
      </w:hyperlink>
      <w:r w:rsidRPr="00033446">
        <w:rPr>
          <w:rFonts w:ascii="Segoe Pro" w:hAnsi="Segoe Pro"/>
          <w:sz w:val="22"/>
          <w:szCs w:val="20"/>
        </w:rPr>
        <w:t xml:space="preserve"> (statu quo)</w:t>
      </w:r>
    </w:p>
    <w:p w14:paraId="320F0407" w14:textId="4C24D39B" w:rsidR="00404E0D" w:rsidRPr="00033446" w:rsidRDefault="00404E0D" w:rsidP="00033446">
      <w:pPr>
        <w:numPr>
          <w:ilvl w:val="0"/>
          <w:numId w:val="23"/>
        </w:numPr>
        <w:tabs>
          <w:tab w:val="left" w:pos="1260"/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r w:rsidRPr="00033446">
        <w:rPr>
          <w:rFonts w:ascii="Segoe Pro" w:hAnsi="Segoe Pro"/>
          <w:sz w:val="22"/>
          <w:szCs w:val="20"/>
        </w:rPr>
        <w:t>GOU 10.0 Remboursement des dépenses des conseillers scolaires (révision)</w:t>
      </w:r>
    </w:p>
    <w:p w14:paraId="3609E570" w14:textId="3D473DE1" w:rsidR="00404E0D" w:rsidRPr="00033446" w:rsidRDefault="00404E0D" w:rsidP="00033446">
      <w:pPr>
        <w:numPr>
          <w:ilvl w:val="0"/>
          <w:numId w:val="23"/>
        </w:numPr>
        <w:tabs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hyperlink r:id="rId10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17.0 Politiques</w:t>
        </w:r>
      </w:hyperlink>
      <w:r w:rsidRPr="00033446">
        <w:rPr>
          <w:rFonts w:ascii="Segoe Pro" w:hAnsi="Segoe Pro"/>
          <w:sz w:val="22"/>
          <w:szCs w:val="20"/>
        </w:rPr>
        <w:t xml:space="preserve"> (révi</w:t>
      </w:r>
      <w:r w:rsidR="00A06369">
        <w:rPr>
          <w:rFonts w:ascii="Segoe Pro" w:hAnsi="Segoe Pro"/>
          <w:sz w:val="22"/>
          <w:szCs w:val="20"/>
        </w:rPr>
        <w:t>sion</w:t>
      </w:r>
      <w:r w:rsidRPr="00033446">
        <w:rPr>
          <w:rFonts w:ascii="Segoe Pro" w:hAnsi="Segoe Pro"/>
          <w:sz w:val="22"/>
          <w:szCs w:val="20"/>
        </w:rPr>
        <w:t>)</w:t>
      </w:r>
    </w:p>
    <w:p w14:paraId="34B3DBFF" w14:textId="25BF8D6F" w:rsidR="00404E0D" w:rsidRPr="00033446" w:rsidRDefault="00404E0D" w:rsidP="00033446">
      <w:pPr>
        <w:numPr>
          <w:ilvl w:val="0"/>
          <w:numId w:val="23"/>
        </w:numPr>
        <w:tabs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hyperlink r:id="rId11" w:tooltip="Politique du recrutement, sélection et embauche des acadres supérieurs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22.0 Recrutement, sélection et embauche des cadres supérieurs</w:t>
        </w:r>
      </w:hyperlink>
      <w:r w:rsidRPr="00033446">
        <w:rPr>
          <w:sz w:val="22"/>
          <w:szCs w:val="20"/>
        </w:rPr>
        <w:t xml:space="preserve"> </w:t>
      </w:r>
      <w:r w:rsidRPr="00033446">
        <w:rPr>
          <w:rFonts w:ascii="Segoe Pro" w:hAnsi="Segoe Pro"/>
          <w:sz w:val="22"/>
          <w:szCs w:val="20"/>
        </w:rPr>
        <w:t>(révi</w:t>
      </w:r>
      <w:r w:rsidR="00A06369">
        <w:rPr>
          <w:rFonts w:ascii="Segoe Pro" w:hAnsi="Segoe Pro"/>
          <w:sz w:val="22"/>
          <w:szCs w:val="20"/>
        </w:rPr>
        <w:t>sion</w:t>
      </w:r>
      <w:r w:rsidRPr="00033446">
        <w:rPr>
          <w:rFonts w:ascii="Segoe Pro" w:hAnsi="Segoe Pro"/>
          <w:sz w:val="22"/>
          <w:szCs w:val="20"/>
        </w:rPr>
        <w:t>)</w:t>
      </w:r>
    </w:p>
    <w:p w14:paraId="730B8519" w14:textId="77777777" w:rsidR="00404E0D" w:rsidRPr="00033446" w:rsidRDefault="00404E0D" w:rsidP="00033446">
      <w:pPr>
        <w:numPr>
          <w:ilvl w:val="0"/>
          <w:numId w:val="23"/>
        </w:numPr>
        <w:tabs>
          <w:tab w:val="right" w:leader="dot" w:pos="8633"/>
        </w:tabs>
        <w:spacing w:line="259" w:lineRule="auto"/>
        <w:ind w:right="-360"/>
        <w:rPr>
          <w:rFonts w:ascii="Segoe Pro" w:hAnsi="Segoe Pro"/>
          <w:sz w:val="22"/>
          <w:szCs w:val="20"/>
        </w:rPr>
      </w:pPr>
      <w:hyperlink r:id="rId12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39.0 Défense des intérêts</w:t>
        </w:r>
      </w:hyperlink>
      <w:r w:rsidRPr="00033446">
        <w:rPr>
          <w:rFonts w:ascii="Segoe Pro" w:hAnsi="Segoe Pro"/>
          <w:sz w:val="22"/>
          <w:szCs w:val="20"/>
        </w:rPr>
        <w:t xml:space="preserve"> (statu quo)</w:t>
      </w:r>
    </w:p>
    <w:p w14:paraId="1BFE0A84" w14:textId="4D789F73" w:rsidR="00404E0D" w:rsidRPr="00033446" w:rsidRDefault="00404E0D" w:rsidP="00033446">
      <w:pPr>
        <w:numPr>
          <w:ilvl w:val="0"/>
          <w:numId w:val="23"/>
        </w:numPr>
        <w:tabs>
          <w:tab w:val="right" w:leader="dot" w:pos="8633"/>
        </w:tabs>
        <w:spacing w:after="240" w:line="259" w:lineRule="auto"/>
        <w:ind w:right="-360"/>
        <w:rPr>
          <w:rFonts w:ascii="Segoe Pro" w:hAnsi="Segoe Pro"/>
          <w:sz w:val="22"/>
          <w:szCs w:val="20"/>
        </w:rPr>
      </w:pPr>
      <w:hyperlink r:id="rId13" w:history="1">
        <w:r w:rsidRPr="00033446">
          <w:rPr>
            <w:rStyle w:val="Hyperlien"/>
            <w:rFonts w:ascii="Segoe Pro" w:hAnsi="Segoe Pro"/>
            <w:color w:val="auto"/>
            <w:sz w:val="22"/>
            <w:szCs w:val="20"/>
            <w:u w:val="none"/>
          </w:rPr>
          <w:t>GOU 41.0 Intérêt pécuniaire et information relative aux apparentés</w:t>
        </w:r>
      </w:hyperlink>
      <w:r w:rsidR="00A06369">
        <w:rPr>
          <w:sz w:val="22"/>
          <w:szCs w:val="22"/>
        </w:rPr>
        <w:t xml:space="preserve"> </w:t>
      </w:r>
      <w:r w:rsidRPr="00033446">
        <w:rPr>
          <w:rFonts w:ascii="Segoe Pro" w:hAnsi="Segoe Pro"/>
          <w:sz w:val="22"/>
          <w:szCs w:val="20"/>
        </w:rPr>
        <w:t>(statu quo)</w:t>
      </w:r>
    </w:p>
    <w:p w14:paraId="68FAF677" w14:textId="2469F9FC" w:rsidR="003D36D2" w:rsidRPr="0078409A" w:rsidRDefault="00404E0D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De belles photos d’activités au sein des écoles et du</w:t>
      </w:r>
      <w:r w:rsidR="00383253">
        <w:rPr>
          <w:rFonts w:ascii="Segoe Pro" w:hAnsi="Segoe Pro" w:cs="Segoe-Bold"/>
        </w:rPr>
        <w:t xml:space="preserve"> siège social sont partagées par l’entremise des rapports des élèves conseillères et du directeur de l’éducation.</w:t>
      </w:r>
    </w:p>
    <w:sectPr w:rsidR="003D36D2" w:rsidRPr="0078409A" w:rsidSect="008C6104">
      <w:headerReference w:type="default" r:id="rId14"/>
      <w:headerReference w:type="first" r:id="rId15"/>
      <w:footerReference w:type="first" r:id="rId16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D8AC" w14:textId="77777777" w:rsidR="002400D3" w:rsidRDefault="002400D3">
      <w:r>
        <w:separator/>
      </w:r>
    </w:p>
  </w:endnote>
  <w:endnote w:type="continuationSeparator" w:id="0">
    <w:p w14:paraId="278AE62B" w14:textId="77777777" w:rsidR="002400D3" w:rsidRDefault="0024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885D" w14:textId="77777777" w:rsidR="002400D3" w:rsidRDefault="002400D3">
      <w:r>
        <w:separator/>
      </w:r>
    </w:p>
  </w:footnote>
  <w:footnote w:type="continuationSeparator" w:id="0">
    <w:p w14:paraId="0F4D8837" w14:textId="77777777" w:rsidR="002400D3" w:rsidRDefault="0024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4DD22C7"/>
    <w:multiLevelType w:val="hybridMultilevel"/>
    <w:tmpl w:val="DA6032E6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5522DAE"/>
    <w:multiLevelType w:val="hybridMultilevel"/>
    <w:tmpl w:val="E3FCDB5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11"/>
  </w:num>
  <w:num w:numId="4" w16cid:durableId="855270019">
    <w:abstractNumId w:val="3"/>
  </w:num>
  <w:num w:numId="5" w16cid:durableId="191698185">
    <w:abstractNumId w:val="9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7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10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8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7"/>
  </w:num>
  <w:num w:numId="22" w16cid:durableId="1112289169">
    <w:abstractNumId w:val="5"/>
  </w:num>
  <w:num w:numId="23" w16cid:durableId="377170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2FF"/>
    <w:rsid w:val="00012BCB"/>
    <w:rsid w:val="0002210C"/>
    <w:rsid w:val="00025FA9"/>
    <w:rsid w:val="00030B86"/>
    <w:rsid w:val="00033446"/>
    <w:rsid w:val="00037E85"/>
    <w:rsid w:val="0004395F"/>
    <w:rsid w:val="0004731B"/>
    <w:rsid w:val="00060F10"/>
    <w:rsid w:val="00091A7E"/>
    <w:rsid w:val="000C010D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1080"/>
    <w:rsid w:val="001627B0"/>
    <w:rsid w:val="001706FC"/>
    <w:rsid w:val="00174201"/>
    <w:rsid w:val="001771AD"/>
    <w:rsid w:val="00181A25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F0F3F"/>
    <w:rsid w:val="001F3995"/>
    <w:rsid w:val="002067FC"/>
    <w:rsid w:val="0021155B"/>
    <w:rsid w:val="0021255F"/>
    <w:rsid w:val="00223101"/>
    <w:rsid w:val="00227418"/>
    <w:rsid w:val="00235003"/>
    <w:rsid w:val="002350C4"/>
    <w:rsid w:val="002400D3"/>
    <w:rsid w:val="00254327"/>
    <w:rsid w:val="0025511C"/>
    <w:rsid w:val="002561A2"/>
    <w:rsid w:val="00284AEA"/>
    <w:rsid w:val="00287659"/>
    <w:rsid w:val="002908C4"/>
    <w:rsid w:val="00292A4E"/>
    <w:rsid w:val="00293B0D"/>
    <w:rsid w:val="002B0E51"/>
    <w:rsid w:val="002C2BE7"/>
    <w:rsid w:val="002D0007"/>
    <w:rsid w:val="002D4A06"/>
    <w:rsid w:val="002D5988"/>
    <w:rsid w:val="002F2AF2"/>
    <w:rsid w:val="00302A7D"/>
    <w:rsid w:val="003041FF"/>
    <w:rsid w:val="00305FF1"/>
    <w:rsid w:val="00306C11"/>
    <w:rsid w:val="003308A7"/>
    <w:rsid w:val="0033648E"/>
    <w:rsid w:val="0033718E"/>
    <w:rsid w:val="00355EB1"/>
    <w:rsid w:val="00363A68"/>
    <w:rsid w:val="00363CFB"/>
    <w:rsid w:val="00363E17"/>
    <w:rsid w:val="003740AB"/>
    <w:rsid w:val="00376FC1"/>
    <w:rsid w:val="003775D5"/>
    <w:rsid w:val="003813F1"/>
    <w:rsid w:val="00383253"/>
    <w:rsid w:val="00392D90"/>
    <w:rsid w:val="00393EA3"/>
    <w:rsid w:val="00394AC8"/>
    <w:rsid w:val="00396AA5"/>
    <w:rsid w:val="003A52F5"/>
    <w:rsid w:val="003A7AF5"/>
    <w:rsid w:val="003B6CF3"/>
    <w:rsid w:val="003C692C"/>
    <w:rsid w:val="003D36D2"/>
    <w:rsid w:val="003D539C"/>
    <w:rsid w:val="003D6801"/>
    <w:rsid w:val="003E2A93"/>
    <w:rsid w:val="00404E0D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5F56CC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870AB"/>
    <w:rsid w:val="0089023E"/>
    <w:rsid w:val="00895178"/>
    <w:rsid w:val="008955A5"/>
    <w:rsid w:val="00897517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0636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F000B"/>
    <w:rsid w:val="00D0193B"/>
    <w:rsid w:val="00D02DDF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A738B"/>
    <w:rsid w:val="00DB1AE1"/>
    <w:rsid w:val="00DB1C9F"/>
    <w:rsid w:val="00DB24E3"/>
    <w:rsid w:val="00DD3C76"/>
    <w:rsid w:val="00DE2FDF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131F"/>
    <w:rsid w:val="00E72A9C"/>
    <w:rsid w:val="00E937F4"/>
    <w:rsid w:val="00E937FF"/>
    <w:rsid w:val="00E976CA"/>
    <w:rsid w:val="00EA7D5E"/>
    <w:rsid w:val="00EB592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nouvelon.ca/doc/DA/GOU01_00.docx" TargetMode="External"/><Relationship Id="rId13" Type="http://schemas.openxmlformats.org/officeDocument/2006/relationships/hyperlink" Target="http://docs.nouvelon.ca/doc/DA/GOU41_0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nouvelon.ca/doc/DA/GOU39_0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nouvelon.ca/doc/DA/GOU22_0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nouvelon.ca/doc/DA/GOU17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nouvelon.ca/doc/DA/GOU02_00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43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14</cp:revision>
  <cp:lastPrinted>2020-12-07T13:38:00Z</cp:lastPrinted>
  <dcterms:created xsi:type="dcterms:W3CDTF">2025-01-06T16:39:00Z</dcterms:created>
  <dcterms:modified xsi:type="dcterms:W3CDTF">2025-05-28T15:34:00Z</dcterms:modified>
</cp:coreProperties>
</file>