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4D1B7" w14:textId="27D76C96" w:rsidR="000505B5" w:rsidRPr="004325DA" w:rsidRDefault="00CF24A9" w:rsidP="005A7A0E">
      <w:pPr>
        <w:pStyle w:val="StyleEn-tteSegoe14ptGrasBlancGauche05Droite"/>
        <w:tabs>
          <w:tab w:val="clear" w:pos="4320"/>
          <w:tab w:val="clear" w:pos="8640"/>
          <w:tab w:val="right" w:pos="10260"/>
        </w:tabs>
        <w:rPr>
          <w:rFonts w:ascii="Segoe Pro" w:hAnsi="Segoe Pro"/>
        </w:rPr>
      </w:pPr>
      <w:bookmarkStart w:id="0" w:name="_Hlk8286730"/>
      <w:bookmarkStart w:id="1" w:name="_Hlk8287618"/>
      <w:r w:rsidRPr="004325DA">
        <w:rPr>
          <w:rFonts w:ascii="Segoe Pro" w:hAnsi="Segoe Pro"/>
        </w:rPr>
        <w:t>politique</w:t>
      </w:r>
      <w:r w:rsidR="000505B5" w:rsidRPr="004325DA">
        <w:rPr>
          <w:rFonts w:ascii="Segoe Pro" w:hAnsi="Segoe Pro"/>
        </w:rPr>
        <w:tab/>
      </w:r>
      <w:r w:rsidR="001B777B" w:rsidRPr="004325DA">
        <w:rPr>
          <w:rFonts w:ascii="Segoe Pro" w:hAnsi="Segoe Pro"/>
        </w:rPr>
        <w:t xml:space="preserve"> </w:t>
      </w:r>
      <w:r w:rsidR="00A872E0" w:rsidRPr="004325DA">
        <w:rPr>
          <w:rFonts w:ascii="Segoe Pro" w:hAnsi="Segoe Pro"/>
        </w:rPr>
        <w:t xml:space="preserve">GOU </w:t>
      </w:r>
      <w:r w:rsidR="00935F5F" w:rsidRPr="004325DA">
        <w:rPr>
          <w:rFonts w:ascii="Segoe Pro" w:hAnsi="Segoe Pro"/>
        </w:rPr>
        <w:t>21.0</w:t>
      </w:r>
    </w:p>
    <w:p w14:paraId="4D3F51B4" w14:textId="49010CF8" w:rsidR="000505B5" w:rsidRPr="002D7F3B" w:rsidRDefault="000505B5" w:rsidP="002D7F3B">
      <w:pPr>
        <w:pStyle w:val="En-tte"/>
        <w:tabs>
          <w:tab w:val="clear" w:pos="4320"/>
          <w:tab w:val="clear" w:pos="8640"/>
          <w:tab w:val="right" w:pos="10440"/>
        </w:tabs>
        <w:ind w:right="720" w:firstLine="720"/>
        <w:rPr>
          <w:rFonts w:ascii="Segoe Pro" w:hAnsi="Segoe Pro"/>
          <w:b/>
          <w:bCs/>
          <w:szCs w:val="22"/>
        </w:rPr>
      </w:pPr>
      <w:r w:rsidRPr="004325DA">
        <w:rPr>
          <w:rFonts w:ascii="Segoe Pro" w:hAnsi="Segoe Pro"/>
          <w:szCs w:val="22"/>
        </w:rPr>
        <w:t xml:space="preserve">Domaine : </w:t>
      </w:r>
      <w:r w:rsidR="00CF24A9" w:rsidRPr="004325DA">
        <w:rPr>
          <w:rFonts w:ascii="Segoe Pro" w:hAnsi="Segoe Pro"/>
          <w:b/>
          <w:bCs/>
          <w:szCs w:val="22"/>
        </w:rPr>
        <w:t>Gouvernance</w:t>
      </w:r>
      <w:r w:rsidR="002D7F3B">
        <w:rPr>
          <w:rFonts w:ascii="Segoe Pro" w:hAnsi="Segoe Pro"/>
          <w:b/>
          <w:bCs/>
          <w:szCs w:val="22"/>
        </w:rPr>
        <w:tab/>
      </w:r>
      <w:r w:rsidRPr="004325DA">
        <w:rPr>
          <w:rFonts w:ascii="Segoe Pro" w:hAnsi="Segoe Pro"/>
          <w:sz w:val="16"/>
          <w:szCs w:val="16"/>
        </w:rPr>
        <w:t>En vigueur</w:t>
      </w:r>
      <w:r w:rsidR="00CF24A9" w:rsidRPr="004325DA">
        <w:rPr>
          <w:rFonts w:ascii="Segoe Pro" w:hAnsi="Segoe Pro"/>
          <w:sz w:val="16"/>
          <w:szCs w:val="16"/>
        </w:rPr>
        <w:t xml:space="preserve"> </w:t>
      </w:r>
      <w:r w:rsidR="00872715" w:rsidRPr="004325DA">
        <w:rPr>
          <w:rFonts w:ascii="Segoe Pro" w:hAnsi="Segoe Pro"/>
          <w:sz w:val="16"/>
          <w:szCs w:val="16"/>
        </w:rPr>
        <w:t xml:space="preserve">le </w:t>
      </w:r>
      <w:r w:rsidR="00935F5F" w:rsidRPr="004325DA">
        <w:rPr>
          <w:rFonts w:ascii="Segoe Pro" w:hAnsi="Segoe Pro"/>
          <w:sz w:val="16"/>
          <w:szCs w:val="16"/>
        </w:rPr>
        <w:t>30 mars 2010 (SP-10-15)</w:t>
      </w:r>
    </w:p>
    <w:p w14:paraId="580D7172" w14:textId="4A2771FC" w:rsidR="00D534A2" w:rsidRPr="004325DA" w:rsidRDefault="000505B5" w:rsidP="00BD7B29">
      <w:pPr>
        <w:pStyle w:val="En-tte"/>
        <w:pBdr>
          <w:bottom w:val="single" w:sz="4" w:space="1" w:color="auto"/>
        </w:pBdr>
        <w:tabs>
          <w:tab w:val="clear" w:pos="4320"/>
          <w:tab w:val="clear" w:pos="8640"/>
        </w:tabs>
        <w:ind w:left="720" w:right="720"/>
        <w:jc w:val="right"/>
        <w:rPr>
          <w:rFonts w:ascii="Segoe Pro" w:hAnsi="Segoe Pro"/>
          <w:sz w:val="16"/>
          <w:szCs w:val="16"/>
        </w:rPr>
      </w:pPr>
      <w:r w:rsidRPr="004325DA">
        <w:rPr>
          <w:rFonts w:ascii="Segoe Pro" w:hAnsi="Segoe Pro"/>
          <w:sz w:val="16"/>
          <w:szCs w:val="16"/>
        </w:rPr>
        <w:t xml:space="preserve">Révisée </w:t>
      </w:r>
      <w:r w:rsidR="00BD7B29">
        <w:rPr>
          <w:rFonts w:ascii="Segoe Pro" w:hAnsi="Segoe Pro"/>
          <w:sz w:val="16"/>
          <w:szCs w:val="16"/>
        </w:rPr>
        <w:t>hors cycle le 25 février 2025</w:t>
      </w:r>
      <w:r w:rsidR="007103FF" w:rsidRPr="004325DA">
        <w:rPr>
          <w:rFonts w:ascii="Segoe Pro" w:hAnsi="Segoe Pro"/>
          <w:sz w:val="16"/>
          <w:szCs w:val="16"/>
        </w:rPr>
        <w:t xml:space="preserve"> (2</w:t>
      </w:r>
      <w:r w:rsidR="00BD7B29">
        <w:rPr>
          <w:rFonts w:ascii="Segoe Pro" w:hAnsi="Segoe Pro"/>
          <w:sz w:val="16"/>
          <w:szCs w:val="16"/>
        </w:rPr>
        <w:t>5-20</w:t>
      </w:r>
      <w:r w:rsidR="007103FF" w:rsidRPr="004325DA">
        <w:rPr>
          <w:rFonts w:ascii="Segoe Pro" w:hAnsi="Segoe Pro"/>
          <w:sz w:val="16"/>
          <w:szCs w:val="16"/>
        </w:rPr>
        <w:t>)</w:t>
      </w:r>
    </w:p>
    <w:p w14:paraId="393468A5" w14:textId="77777777" w:rsidR="00990523" w:rsidRPr="004325DA" w:rsidRDefault="000505B5" w:rsidP="005A7A0E">
      <w:pPr>
        <w:pStyle w:val="En-tte"/>
        <w:tabs>
          <w:tab w:val="clear" w:pos="4320"/>
          <w:tab w:val="clear" w:pos="8640"/>
        </w:tabs>
        <w:ind w:right="720" w:firstLine="720"/>
        <w:rPr>
          <w:rFonts w:ascii="Segoe Pro" w:hAnsi="Segoe Pro" w:cs="Segoe UI"/>
          <w:bCs/>
          <w:i/>
          <w:iCs/>
          <w:sz w:val="18"/>
          <w:szCs w:val="18"/>
        </w:rPr>
      </w:pPr>
      <w:r w:rsidRPr="004325DA">
        <w:rPr>
          <w:rFonts w:ascii="Segoe Pro" w:hAnsi="Segoe Pro" w:cs="Segoe UI"/>
          <w:bCs/>
          <w:i/>
          <w:iCs/>
          <w:sz w:val="18"/>
          <w:szCs w:val="18"/>
        </w:rPr>
        <w:t>L’usage du masculin a pour but d’alléger le texte.</w:t>
      </w:r>
      <w:bookmarkEnd w:id="0"/>
      <w:bookmarkEnd w:id="1"/>
    </w:p>
    <w:p w14:paraId="2A9F5CC2" w14:textId="08F97059" w:rsidR="000A1910" w:rsidRPr="004325DA" w:rsidRDefault="00935F5F" w:rsidP="006562C2">
      <w:pPr>
        <w:pStyle w:val="StyleTitre1Droite05"/>
        <w:rPr>
          <w:lang w:val="fr-CA"/>
        </w:rPr>
      </w:pPr>
      <w:r w:rsidRPr="004325DA">
        <w:rPr>
          <w:lang w:val="fr-CA"/>
        </w:rPr>
        <w:t xml:space="preserve">évaluation du rendement </w:t>
      </w:r>
      <w:r w:rsidR="0096732A" w:rsidRPr="004325DA">
        <w:rPr>
          <w:lang w:val="fr-CA"/>
        </w:rPr>
        <w:t>de la direction</w:t>
      </w:r>
      <w:r w:rsidRPr="004325DA">
        <w:rPr>
          <w:lang w:val="fr-CA"/>
        </w:rPr>
        <w:t xml:space="preserve"> de l’éducation</w:t>
      </w:r>
    </w:p>
    <w:p w14:paraId="6F81A57B" w14:textId="21D18396" w:rsidR="000A1910" w:rsidRPr="004325DA" w:rsidRDefault="000A1910" w:rsidP="00AD5CDC">
      <w:pPr>
        <w:pStyle w:val="Sous-titre"/>
        <w:rPr>
          <w:lang w:val="fr-CA"/>
        </w:rPr>
      </w:pPr>
      <w:r w:rsidRPr="004325DA">
        <w:rPr>
          <w:lang w:val="fr-CA"/>
        </w:rPr>
        <w:t>Énonc</w:t>
      </w:r>
      <w:r w:rsidR="00AD5CDC" w:rsidRPr="004325DA">
        <w:rPr>
          <w:lang w:val="fr-CA"/>
        </w:rPr>
        <w:t>É</w:t>
      </w:r>
    </w:p>
    <w:p w14:paraId="37F38394" w14:textId="271E9FC8" w:rsidR="00935F5F" w:rsidRPr="004325DA" w:rsidRDefault="00AA7798" w:rsidP="00183F4C">
      <w:pPr>
        <w:pStyle w:val="Listeniveau2"/>
        <w:numPr>
          <w:ilvl w:val="0"/>
          <w:numId w:val="0"/>
        </w:numPr>
        <w:ind w:left="1073"/>
        <w:rPr>
          <w:lang w:val="fr-CA"/>
        </w:rPr>
      </w:pPr>
      <w:r w:rsidRPr="004325DA">
        <w:rPr>
          <w:lang w:val="fr-CA"/>
        </w:rPr>
        <w:t xml:space="preserve">Le Conseil scolaire catholique Nouvelon (Conseil) établit un processus pour l’évaluation du rendement de la direction de l’éducation conformément à la </w:t>
      </w:r>
      <w:r w:rsidRPr="004325DA">
        <w:rPr>
          <w:i/>
          <w:iCs/>
          <w:lang w:val="fr-CA"/>
        </w:rPr>
        <w:t xml:space="preserve">Loi sur l’éducation de l’Ontario </w:t>
      </w:r>
      <w:r w:rsidRPr="004325DA">
        <w:rPr>
          <w:iCs/>
          <w:lang w:val="fr-CA"/>
        </w:rPr>
        <w:t xml:space="preserve">(Loi) et au </w:t>
      </w:r>
      <w:hyperlink r:id="rId8" w:tooltip="Règlement 83/24 : Évaluation du rendement des directeurs de l’éducation" w:history="1">
        <w:r w:rsidRPr="004325DA">
          <w:rPr>
            <w:rStyle w:val="Hyperlien"/>
            <w:iCs/>
            <w:lang w:val="fr-CA"/>
          </w:rPr>
          <w:t>Règlement 83/24 : Évaluation du rendement des directeurs de l’éducation</w:t>
        </w:r>
      </w:hyperlink>
      <w:r w:rsidRPr="004325DA">
        <w:rPr>
          <w:iCs/>
          <w:lang w:val="fr-CA"/>
        </w:rPr>
        <w:t xml:space="preserve"> (Règlement). L’évaluation du rendement est une pratique à renforcer </w:t>
      </w:r>
      <w:r w:rsidR="00650E7F" w:rsidRPr="004325DA">
        <w:rPr>
          <w:iCs/>
          <w:lang w:val="fr-CA"/>
        </w:rPr>
        <w:t xml:space="preserve">qui </w:t>
      </w:r>
      <w:r w:rsidR="00FF599A" w:rsidRPr="004325DA">
        <w:rPr>
          <w:iCs/>
          <w:lang w:val="fr-CA"/>
        </w:rPr>
        <w:t xml:space="preserve">veut une appréciation du travail accompli </w:t>
      </w:r>
      <w:r w:rsidR="00C04B58" w:rsidRPr="004325DA">
        <w:rPr>
          <w:iCs/>
          <w:lang w:val="fr-CA"/>
        </w:rPr>
        <w:t xml:space="preserve">qui tient compte des </w:t>
      </w:r>
      <w:r w:rsidR="00DE3ED3" w:rsidRPr="004325DA">
        <w:rPr>
          <w:iCs/>
          <w:lang w:val="fr-CA"/>
        </w:rPr>
        <w:t>con</w:t>
      </w:r>
      <w:r w:rsidR="00C04B58" w:rsidRPr="004325DA">
        <w:rPr>
          <w:iCs/>
          <w:lang w:val="fr-CA"/>
        </w:rPr>
        <w:t>tributions de la direction de l’éducation, de ses responsabilités et de ses mandats, de ses attentes en fait d’objectifs, de ses connaissances</w:t>
      </w:r>
      <w:r w:rsidR="002472EB" w:rsidRPr="004325DA">
        <w:rPr>
          <w:iCs/>
          <w:lang w:val="fr-CA"/>
        </w:rPr>
        <w:t>, de ses comportements, de ses habiletés professionnelles ainsi que des résultats obtenus.</w:t>
      </w:r>
    </w:p>
    <w:p w14:paraId="7D86A4D9" w14:textId="77777777" w:rsidR="000A1910" w:rsidRPr="004325DA" w:rsidRDefault="000A1910" w:rsidP="00AD5CDC">
      <w:pPr>
        <w:pStyle w:val="Sous-titre"/>
        <w:rPr>
          <w:lang w:val="fr-CA"/>
        </w:rPr>
      </w:pPr>
      <w:r w:rsidRPr="004325DA">
        <w:rPr>
          <w:lang w:val="fr-CA"/>
        </w:rPr>
        <w:t>Principes directeurs</w:t>
      </w:r>
    </w:p>
    <w:p w14:paraId="019371AC" w14:textId="2A0A333B" w:rsidR="007103FF" w:rsidRPr="004325DA" w:rsidRDefault="00935F5F" w:rsidP="00183F4C">
      <w:pPr>
        <w:pStyle w:val="Listeniveau2"/>
        <w:ind w:right="630"/>
        <w:rPr>
          <w:lang w:val="fr-CA"/>
        </w:rPr>
      </w:pPr>
      <w:r w:rsidRPr="004325DA">
        <w:rPr>
          <w:lang w:val="fr-CA"/>
        </w:rPr>
        <w:t xml:space="preserve">L’évaluation du rendement </w:t>
      </w:r>
      <w:r w:rsidR="0096732A" w:rsidRPr="004325DA">
        <w:rPr>
          <w:lang w:val="fr-CA"/>
        </w:rPr>
        <w:t>de la direction</w:t>
      </w:r>
      <w:r w:rsidRPr="004325DA">
        <w:rPr>
          <w:lang w:val="fr-CA"/>
        </w:rPr>
        <w:t xml:space="preserve"> de l’éducation a pour but d’évaluer sa contribution à la réalisation de la mission et la vision du Conseil, la planification stratégique, les priorités annuelles et les obligations au terme de</w:t>
      </w:r>
      <w:r w:rsidR="00A734E9">
        <w:rPr>
          <w:lang w:val="fr-CA"/>
        </w:rPr>
        <w:t>s lois et des règlements</w:t>
      </w:r>
      <w:r w:rsidRPr="004325DA">
        <w:rPr>
          <w:lang w:val="fr-CA"/>
        </w:rPr>
        <w:t>. C’est une occasion d’avoir un échange constructif à son égard.</w:t>
      </w:r>
    </w:p>
    <w:p w14:paraId="0D31AAAE" w14:textId="524A334E" w:rsidR="00F531ED" w:rsidRPr="004325DA" w:rsidRDefault="00935F5F" w:rsidP="00550229">
      <w:pPr>
        <w:pStyle w:val="Listeniveau2"/>
        <w:rPr>
          <w:lang w:val="fr-CA"/>
        </w:rPr>
      </w:pPr>
      <w:r w:rsidRPr="004325DA">
        <w:rPr>
          <w:lang w:val="fr-CA"/>
        </w:rPr>
        <w:t>L’évaluation</w:t>
      </w:r>
      <w:r w:rsidR="00811D6D" w:rsidRPr="004325DA">
        <w:rPr>
          <w:lang w:val="fr-CA"/>
        </w:rPr>
        <w:t xml:space="preserve"> du rendement</w:t>
      </w:r>
      <w:r w:rsidRPr="004325DA">
        <w:rPr>
          <w:lang w:val="fr-CA"/>
        </w:rPr>
        <w:t xml:space="preserve"> favorise épanouissement personnel et professionnel</w:t>
      </w:r>
      <w:r w:rsidR="00811D6D" w:rsidRPr="004325DA">
        <w:rPr>
          <w:lang w:val="fr-CA"/>
        </w:rPr>
        <w:t xml:space="preserve"> de la direction de l’éducation</w:t>
      </w:r>
      <w:r w:rsidRPr="004325DA">
        <w:rPr>
          <w:lang w:val="fr-CA"/>
        </w:rPr>
        <w:t xml:space="preserve"> dans une démarche structurée qui permet d’influencer le leadership et les aptitudes nécessaires à améliorer le système d’éducation catholique de langue française. </w:t>
      </w:r>
      <w:r w:rsidRPr="004325DA">
        <w:t>La démarche permet ainsi à renforcer le rendement satisfaisant ou à identifier des pistes d’amélioration.</w:t>
      </w:r>
    </w:p>
    <w:p w14:paraId="456D8504" w14:textId="49B2A109" w:rsidR="000A1910" w:rsidRPr="004325DA" w:rsidRDefault="00935F5F" w:rsidP="00AD5CDC">
      <w:pPr>
        <w:pStyle w:val="Sous-titre"/>
        <w:rPr>
          <w:lang w:val="fr-CA"/>
        </w:rPr>
      </w:pPr>
      <w:r w:rsidRPr="004325DA">
        <w:rPr>
          <w:lang w:val="fr-CA"/>
        </w:rPr>
        <w:t>cycle d’évaluation</w:t>
      </w:r>
    </w:p>
    <w:p w14:paraId="05096330" w14:textId="303ABF84" w:rsidR="00627B8F" w:rsidRPr="00B3165A" w:rsidRDefault="00627B8F" w:rsidP="00935F5F">
      <w:pPr>
        <w:pStyle w:val="Listeniveau2"/>
        <w:rPr>
          <w:lang w:val="fr-CA"/>
        </w:rPr>
      </w:pPr>
      <w:r w:rsidRPr="00B3165A">
        <w:rPr>
          <w:lang w:val="fr-CA"/>
        </w:rPr>
        <w:t>L</w:t>
      </w:r>
      <w:r w:rsidR="00540B51" w:rsidRPr="00B3165A">
        <w:rPr>
          <w:lang w:val="fr-CA"/>
        </w:rPr>
        <w:t xml:space="preserve">’évaluation du rendement de la direction de l’éducation </w:t>
      </w:r>
      <w:r w:rsidR="00C52A51" w:rsidRPr="00B3165A">
        <w:rPr>
          <w:lang w:val="fr-CA"/>
        </w:rPr>
        <w:t xml:space="preserve">s’échelonne </w:t>
      </w:r>
      <w:r w:rsidR="00540B51" w:rsidRPr="00B3165A">
        <w:rPr>
          <w:lang w:val="fr-CA"/>
        </w:rPr>
        <w:t>sur un cycle</w:t>
      </w:r>
      <w:r w:rsidR="00865797" w:rsidRPr="00B3165A">
        <w:rPr>
          <w:lang w:val="fr-CA"/>
        </w:rPr>
        <w:t xml:space="preserve"> de trois ans.</w:t>
      </w:r>
    </w:p>
    <w:p w14:paraId="58CF2C13" w14:textId="15CF31B6" w:rsidR="00433F56" w:rsidRPr="00B3165A" w:rsidRDefault="00C14708" w:rsidP="00935F5F">
      <w:pPr>
        <w:pStyle w:val="Listeniveau2"/>
        <w:rPr>
          <w:lang w:val="fr-CA"/>
        </w:rPr>
      </w:pPr>
      <w:r w:rsidRPr="00B3165A">
        <w:rPr>
          <w:lang w:val="fr-CA"/>
        </w:rPr>
        <w:t>Les exigences varient</w:t>
      </w:r>
      <w:r w:rsidR="000A4006" w:rsidRPr="00B3165A">
        <w:rPr>
          <w:lang w:val="fr-CA"/>
        </w:rPr>
        <w:t xml:space="preserve"> </w:t>
      </w:r>
      <w:r w:rsidRPr="00B3165A">
        <w:rPr>
          <w:lang w:val="fr-CA"/>
        </w:rPr>
        <w:t>selon la date d’entrée en fonction de la direction de l’éducatio</w:t>
      </w:r>
      <w:r w:rsidR="000A4006" w:rsidRPr="00B3165A">
        <w:rPr>
          <w:lang w:val="fr-CA"/>
        </w:rPr>
        <w:t>n</w:t>
      </w:r>
      <w:r w:rsidR="00B7328B" w:rsidRPr="00B3165A">
        <w:rPr>
          <w:lang w:val="fr-CA"/>
        </w:rPr>
        <w:t xml:space="preserve">. </w:t>
      </w:r>
      <w:r w:rsidR="007A0BE7" w:rsidRPr="00B3165A">
        <w:rPr>
          <w:lang w:val="fr-CA"/>
        </w:rPr>
        <w:t>Les mesures à prendre au cours d’un cycle d’évaluation intérimaire so</w:t>
      </w:r>
      <w:r w:rsidR="000A4006" w:rsidRPr="00B3165A">
        <w:rPr>
          <w:lang w:val="fr-CA"/>
        </w:rPr>
        <w:t>nt précisées</w:t>
      </w:r>
      <w:r w:rsidR="00453D9D" w:rsidRPr="00B3165A">
        <w:rPr>
          <w:lang w:val="fr-CA"/>
        </w:rPr>
        <w:t xml:space="preserve"> à l’article 6 du Règ</w:t>
      </w:r>
      <w:r w:rsidR="00B45524" w:rsidRPr="00B3165A">
        <w:rPr>
          <w:lang w:val="fr-CA"/>
        </w:rPr>
        <w:t>lement</w:t>
      </w:r>
      <w:r w:rsidR="00453D9D" w:rsidRPr="00B3165A">
        <w:rPr>
          <w:lang w:val="fr-CA"/>
        </w:rPr>
        <w:t xml:space="preserve"> de l’Ont</w:t>
      </w:r>
      <w:r w:rsidR="00B45524" w:rsidRPr="00B3165A">
        <w:rPr>
          <w:lang w:val="fr-CA"/>
        </w:rPr>
        <w:t>ario 83/24</w:t>
      </w:r>
      <w:r w:rsidR="000A4006" w:rsidRPr="00B3165A">
        <w:rPr>
          <w:lang w:val="fr-CA"/>
        </w:rPr>
        <w:t>.</w:t>
      </w:r>
    </w:p>
    <w:p w14:paraId="20DC84C5" w14:textId="0FEED361" w:rsidR="00B1179B" w:rsidRPr="004325DA" w:rsidRDefault="00B1179B" w:rsidP="00935F5F">
      <w:pPr>
        <w:pStyle w:val="Listeniveau2"/>
        <w:rPr>
          <w:lang w:val="fr-CA"/>
        </w:rPr>
      </w:pPr>
      <w:r w:rsidRPr="004325DA">
        <w:rPr>
          <w:lang w:val="fr-CA"/>
        </w:rPr>
        <w:t>Les étapes suivantes sont effectu</w:t>
      </w:r>
      <w:r w:rsidR="0084617B" w:rsidRPr="004325DA">
        <w:rPr>
          <w:lang w:val="fr-CA"/>
        </w:rPr>
        <w:t>ées</w:t>
      </w:r>
      <w:r w:rsidRPr="004325DA">
        <w:rPr>
          <w:lang w:val="fr-CA"/>
        </w:rPr>
        <w:t xml:space="preserve"> annuellement selon les échéanciers</w:t>
      </w:r>
      <w:r w:rsidR="00AB390B" w:rsidRPr="004325DA">
        <w:rPr>
          <w:lang w:val="fr-CA"/>
        </w:rPr>
        <w:t xml:space="preserve"> </w:t>
      </w:r>
      <w:r w:rsidRPr="004325DA">
        <w:rPr>
          <w:lang w:val="fr-CA"/>
        </w:rPr>
        <w:t>:</w:t>
      </w:r>
    </w:p>
    <w:p w14:paraId="79BD272E" w14:textId="6EE86276" w:rsidR="00B1179B" w:rsidRPr="004325DA" w:rsidRDefault="00B1179B" w:rsidP="00A66CB7">
      <w:pPr>
        <w:pStyle w:val="Listeniveau3"/>
        <w:tabs>
          <w:tab w:val="clear" w:pos="1620"/>
          <w:tab w:val="left" w:pos="2340"/>
          <w:tab w:val="left" w:pos="3960"/>
          <w:tab w:val="left" w:pos="8640"/>
        </w:tabs>
        <w:ind w:left="2347"/>
        <w:contextualSpacing/>
      </w:pPr>
      <w:r w:rsidRPr="004325DA">
        <w:t>15 mai</w:t>
      </w:r>
      <w:r w:rsidR="0063533E" w:rsidRPr="004325DA">
        <w:t> :</w:t>
      </w:r>
      <w:r w:rsidR="0063533E" w:rsidRPr="004325DA">
        <w:tab/>
        <w:t>Formation du comité d’évaluation</w:t>
      </w:r>
    </w:p>
    <w:p w14:paraId="3618A4A4" w14:textId="64164120" w:rsidR="0063533E" w:rsidRPr="004325DA" w:rsidRDefault="0063533E" w:rsidP="00A66CB7">
      <w:pPr>
        <w:pStyle w:val="Listeniveau3"/>
        <w:tabs>
          <w:tab w:val="clear" w:pos="1620"/>
          <w:tab w:val="left" w:pos="2340"/>
          <w:tab w:val="left" w:pos="3960"/>
          <w:tab w:val="left" w:pos="8640"/>
        </w:tabs>
        <w:ind w:left="2347"/>
        <w:contextualSpacing/>
      </w:pPr>
      <w:r w:rsidRPr="004325DA">
        <w:t>31 juillet :</w:t>
      </w:r>
      <w:r w:rsidRPr="004325DA">
        <w:tab/>
        <w:t>Élaboration du plan de rendement</w:t>
      </w:r>
    </w:p>
    <w:p w14:paraId="7401F48F" w14:textId="44CD56FF" w:rsidR="0063533E" w:rsidRPr="004325DA" w:rsidRDefault="0063533E" w:rsidP="00A66CB7">
      <w:pPr>
        <w:pStyle w:val="Listeniveau3"/>
        <w:tabs>
          <w:tab w:val="clear" w:pos="1620"/>
          <w:tab w:val="left" w:pos="2340"/>
          <w:tab w:val="left" w:pos="3960"/>
          <w:tab w:val="left" w:pos="8640"/>
        </w:tabs>
        <w:ind w:left="2347"/>
        <w:contextualSpacing/>
      </w:pPr>
      <w:r w:rsidRPr="004325DA">
        <w:t>15 août :</w:t>
      </w:r>
      <w:r w:rsidRPr="004325DA">
        <w:tab/>
        <w:t>Avis concernant le plan de rendement</w:t>
      </w:r>
    </w:p>
    <w:p w14:paraId="1D857E03" w14:textId="3BBEB123" w:rsidR="0063533E" w:rsidRPr="004325DA" w:rsidRDefault="0063533E" w:rsidP="00A66CB7">
      <w:pPr>
        <w:pStyle w:val="Listeniveau3"/>
        <w:tabs>
          <w:tab w:val="clear" w:pos="1620"/>
          <w:tab w:val="left" w:pos="2340"/>
          <w:tab w:val="left" w:pos="3960"/>
          <w:tab w:val="left" w:pos="8640"/>
        </w:tabs>
        <w:ind w:left="2347"/>
        <w:contextualSpacing/>
      </w:pPr>
      <w:r w:rsidRPr="004325DA">
        <w:t>11 au 31 janvier :</w:t>
      </w:r>
      <w:r w:rsidRPr="004325DA">
        <w:tab/>
        <w:t>Évaluation en milieu d’année</w:t>
      </w:r>
    </w:p>
    <w:p w14:paraId="608E0B8D" w14:textId="582FED4E" w:rsidR="0063533E" w:rsidRPr="004325DA" w:rsidRDefault="0063533E" w:rsidP="00A66CB7">
      <w:pPr>
        <w:pStyle w:val="Listeniveau3"/>
        <w:tabs>
          <w:tab w:val="clear" w:pos="1620"/>
          <w:tab w:val="left" w:pos="2340"/>
          <w:tab w:val="left" w:pos="3960"/>
          <w:tab w:val="left" w:pos="8640"/>
        </w:tabs>
        <w:ind w:left="2347"/>
        <w:contextualSpacing/>
      </w:pPr>
      <w:r w:rsidRPr="004325DA">
        <w:lastRenderedPageBreak/>
        <w:t>30 avril :</w:t>
      </w:r>
      <w:r w:rsidRPr="004325DA">
        <w:tab/>
        <w:t>Observation</w:t>
      </w:r>
      <w:r w:rsidR="0084617B" w:rsidRPr="004325DA">
        <w:t>s</w:t>
      </w:r>
      <w:r w:rsidRPr="004325DA">
        <w:t xml:space="preserve"> communiquées tous les deux ans</w:t>
      </w:r>
    </w:p>
    <w:p w14:paraId="08940068" w14:textId="5635ED59" w:rsidR="0063533E" w:rsidRPr="004325DA" w:rsidRDefault="00580B8B" w:rsidP="00A66CB7">
      <w:pPr>
        <w:pStyle w:val="Listeniveau3"/>
        <w:tabs>
          <w:tab w:val="clear" w:pos="1620"/>
          <w:tab w:val="left" w:pos="2340"/>
          <w:tab w:val="left" w:pos="3960"/>
          <w:tab w:val="left" w:pos="8640"/>
        </w:tabs>
        <w:ind w:left="2347"/>
        <w:contextualSpacing/>
      </w:pPr>
      <w:r w:rsidRPr="004325DA">
        <w:t>30 juin :</w:t>
      </w:r>
      <w:r w:rsidRPr="004325DA">
        <w:tab/>
        <w:t>Rédaction d’une ébauche du rapport d’évaluation du rendement</w:t>
      </w:r>
    </w:p>
    <w:p w14:paraId="38321916" w14:textId="3F679814" w:rsidR="00F31EA4" w:rsidRPr="004325DA" w:rsidRDefault="00F31EA4" w:rsidP="00A66CB7">
      <w:pPr>
        <w:pStyle w:val="Listeniveau3"/>
        <w:tabs>
          <w:tab w:val="clear" w:pos="1620"/>
          <w:tab w:val="left" w:pos="2340"/>
          <w:tab w:val="left" w:pos="3960"/>
          <w:tab w:val="left" w:pos="8640"/>
        </w:tabs>
        <w:ind w:left="2347"/>
        <w:contextualSpacing/>
      </w:pPr>
      <w:r w:rsidRPr="004325DA">
        <w:t>31 juillet :</w:t>
      </w:r>
      <w:r w:rsidRPr="004325DA">
        <w:tab/>
        <w:t>Examen de l’ébauche du rapport d’évaluation du rendement</w:t>
      </w:r>
    </w:p>
    <w:p w14:paraId="7327468B" w14:textId="54B5F0E3" w:rsidR="00F31EA4" w:rsidRPr="004325DA" w:rsidRDefault="00F31EA4" w:rsidP="00A66CB7">
      <w:pPr>
        <w:pStyle w:val="Listeniveau3"/>
        <w:tabs>
          <w:tab w:val="clear" w:pos="1620"/>
          <w:tab w:val="left" w:pos="2340"/>
          <w:tab w:val="left" w:pos="3960"/>
          <w:tab w:val="left" w:pos="8640"/>
        </w:tabs>
        <w:ind w:left="2347"/>
        <w:contextualSpacing/>
      </w:pPr>
      <w:r w:rsidRPr="004325DA">
        <w:t>15 août :</w:t>
      </w:r>
      <w:r w:rsidRPr="004325DA">
        <w:tab/>
        <w:t>Version finale du rapport d’évaluation du rendement</w:t>
      </w:r>
    </w:p>
    <w:p w14:paraId="459E301A" w14:textId="6F40739A" w:rsidR="00A31847" w:rsidRPr="004325DA" w:rsidRDefault="00A31847" w:rsidP="00A31847">
      <w:pPr>
        <w:pStyle w:val="Sous-titre"/>
        <w:rPr>
          <w:lang w:val="fr-CA"/>
        </w:rPr>
      </w:pPr>
      <w:r w:rsidRPr="004325DA">
        <w:rPr>
          <w:lang w:val="fr-CA"/>
        </w:rPr>
        <w:t>processus d’évaluation</w:t>
      </w:r>
    </w:p>
    <w:p w14:paraId="36D5570C" w14:textId="693359C5" w:rsidR="009B7080" w:rsidRPr="004325DA" w:rsidRDefault="009B7080" w:rsidP="00A31847">
      <w:pPr>
        <w:pStyle w:val="Listeniveau2"/>
        <w:rPr>
          <w:lang w:val="fr-CA"/>
        </w:rPr>
      </w:pPr>
      <w:r w:rsidRPr="004325DA">
        <w:rPr>
          <w:lang w:val="fr-CA"/>
        </w:rPr>
        <w:t xml:space="preserve">Le comité </w:t>
      </w:r>
      <w:r w:rsidR="0064020B" w:rsidRPr="004325DA">
        <w:rPr>
          <w:lang w:val="fr-CA"/>
        </w:rPr>
        <w:t xml:space="preserve">chargé d’effectuer les évaluations du rendement </w:t>
      </w:r>
      <w:r w:rsidR="00016465" w:rsidRPr="004325DA">
        <w:rPr>
          <w:lang w:val="fr-CA"/>
        </w:rPr>
        <w:t>est composé d’au moins trois et d’au plus sept membres du Conseil, dont un est élu par la majorité des membres du comité pour agir à titre de présidence.</w:t>
      </w:r>
    </w:p>
    <w:p w14:paraId="37A10DDB" w14:textId="54FD2442" w:rsidR="003760FA" w:rsidRPr="004325DA" w:rsidRDefault="00A60898" w:rsidP="000C7BCF">
      <w:pPr>
        <w:pStyle w:val="Listeniveau2"/>
        <w:rPr>
          <w:lang w:val="fr-CA"/>
        </w:rPr>
      </w:pPr>
      <w:r w:rsidRPr="004325DA">
        <w:rPr>
          <w:lang w:val="fr-CA"/>
        </w:rPr>
        <w:t>Le</w:t>
      </w:r>
      <w:r w:rsidR="0018327F" w:rsidRPr="004325DA">
        <w:rPr>
          <w:lang w:val="fr-CA"/>
        </w:rPr>
        <w:t xml:space="preserve">s </w:t>
      </w:r>
      <w:r w:rsidR="007A4363" w:rsidRPr="004325DA">
        <w:rPr>
          <w:lang w:val="fr-CA"/>
        </w:rPr>
        <w:t>cycles d’évaluation</w:t>
      </w:r>
      <w:r w:rsidR="0018327F" w:rsidRPr="004325DA">
        <w:rPr>
          <w:lang w:val="fr-CA"/>
        </w:rPr>
        <w:t xml:space="preserve"> sont </w:t>
      </w:r>
      <w:r w:rsidR="00B44557" w:rsidRPr="004325DA">
        <w:rPr>
          <w:lang w:val="fr-CA"/>
        </w:rPr>
        <w:t>du 1</w:t>
      </w:r>
      <w:r w:rsidR="00B44557" w:rsidRPr="004325DA">
        <w:rPr>
          <w:vertAlign w:val="superscript"/>
          <w:lang w:val="fr-CA"/>
        </w:rPr>
        <w:t>er</w:t>
      </w:r>
      <w:r w:rsidR="00B44557" w:rsidRPr="004325DA">
        <w:rPr>
          <w:lang w:val="fr-CA"/>
        </w:rPr>
        <w:t xml:space="preserve"> jui</w:t>
      </w:r>
      <w:r w:rsidR="0048502D" w:rsidRPr="004325DA">
        <w:rPr>
          <w:lang w:val="fr-CA"/>
        </w:rPr>
        <w:t>llet au 30 juin</w:t>
      </w:r>
      <w:r w:rsidR="0018327F" w:rsidRPr="004325DA">
        <w:rPr>
          <w:lang w:val="fr-CA"/>
        </w:rPr>
        <w:t xml:space="preserve"> de l’année civile suivante.</w:t>
      </w:r>
    </w:p>
    <w:p w14:paraId="70BAA0BE" w14:textId="18E12E6C" w:rsidR="00CA1529" w:rsidRPr="004325DA" w:rsidRDefault="00CA1529" w:rsidP="000C7BCF">
      <w:pPr>
        <w:pStyle w:val="Listeniveau2"/>
        <w:rPr>
          <w:lang w:val="fr-CA"/>
        </w:rPr>
      </w:pPr>
      <w:r w:rsidRPr="004325DA">
        <w:rPr>
          <w:lang w:val="fr-CA"/>
        </w:rPr>
        <w:t>Les mesures à prendre sont détaillé</w:t>
      </w:r>
      <w:r w:rsidR="009E7A64" w:rsidRPr="004325DA">
        <w:rPr>
          <w:lang w:val="fr-CA"/>
        </w:rPr>
        <w:t>e</w:t>
      </w:r>
      <w:r w:rsidRPr="004325DA">
        <w:rPr>
          <w:lang w:val="fr-CA"/>
        </w:rPr>
        <w:t>s dans les tableaux présentés dans le Règlement.</w:t>
      </w:r>
    </w:p>
    <w:p w14:paraId="2A6128A3" w14:textId="57C80957" w:rsidR="00A31847" w:rsidRPr="004325DA" w:rsidRDefault="00A31847" w:rsidP="00A31847">
      <w:pPr>
        <w:pStyle w:val="Listeniveau2"/>
        <w:rPr>
          <w:strike/>
          <w:lang w:val="fr-CA"/>
        </w:rPr>
      </w:pPr>
      <w:r w:rsidRPr="004325DA">
        <w:rPr>
          <w:rFonts w:cs="Arial"/>
          <w:lang w:val="fr-CA"/>
        </w:rPr>
        <w:t xml:space="preserve">Les réunions du </w:t>
      </w:r>
      <w:r w:rsidR="005C3C84" w:rsidRPr="004325DA">
        <w:rPr>
          <w:rFonts w:cs="Arial"/>
          <w:lang w:val="fr-CA"/>
        </w:rPr>
        <w:t>c</w:t>
      </w:r>
      <w:r w:rsidRPr="004325DA">
        <w:rPr>
          <w:rFonts w:cs="Arial"/>
          <w:lang w:val="fr-CA"/>
        </w:rPr>
        <w:t>omité sont toujours tenues en séance à huis clos</w:t>
      </w:r>
      <w:r w:rsidR="005C3C84" w:rsidRPr="004325DA">
        <w:rPr>
          <w:rFonts w:cs="Arial"/>
          <w:lang w:val="fr-CA"/>
        </w:rPr>
        <w:t>.</w:t>
      </w:r>
    </w:p>
    <w:p w14:paraId="57325624" w14:textId="245F3F25" w:rsidR="008545C5" w:rsidRPr="004325DA" w:rsidRDefault="008545C5" w:rsidP="00A31847">
      <w:pPr>
        <w:pStyle w:val="Listeniveau2"/>
        <w:rPr>
          <w:lang w:val="fr-CA"/>
        </w:rPr>
      </w:pPr>
      <w:r w:rsidRPr="004325DA">
        <w:rPr>
          <w:lang w:val="fr-CA"/>
        </w:rPr>
        <w:t xml:space="preserve">Le plan de rendement </w:t>
      </w:r>
      <w:r w:rsidR="00DE6432" w:rsidRPr="004325DA">
        <w:rPr>
          <w:lang w:val="fr-CA"/>
        </w:rPr>
        <w:t xml:space="preserve">doit être élaboré et comprendre </w:t>
      </w:r>
      <w:r w:rsidR="000E355E" w:rsidRPr="004325DA">
        <w:rPr>
          <w:lang w:val="fr-CA"/>
        </w:rPr>
        <w:t>les éléments suivants qui servent de mesure</w:t>
      </w:r>
      <w:r w:rsidR="007B23D4" w:rsidRPr="004325DA">
        <w:rPr>
          <w:lang w:val="fr-CA"/>
        </w:rPr>
        <w:t>s que la direction de l’éducation met en œuvre au cours de son cycle d’évaluation pour atteindre chacun des objectifs suivants</w:t>
      </w:r>
      <w:r w:rsidR="000E355E" w:rsidRPr="004325DA">
        <w:rPr>
          <w:lang w:val="fr-CA"/>
        </w:rPr>
        <w:t> :</w:t>
      </w:r>
    </w:p>
    <w:p w14:paraId="00426A39" w14:textId="739D0DA6" w:rsidR="000E355E" w:rsidRPr="004325DA" w:rsidRDefault="004F00A2" w:rsidP="00B21E8B">
      <w:pPr>
        <w:pStyle w:val="Listeniveau3"/>
        <w:ind w:left="2347"/>
        <w:contextualSpacing/>
      </w:pPr>
      <w:r w:rsidRPr="004325DA">
        <w:t>f</w:t>
      </w:r>
      <w:r w:rsidR="007B23D4" w:rsidRPr="004325DA">
        <w:t>aire progresser les priorités provinciales en éducation e</w:t>
      </w:r>
      <w:r w:rsidR="0051789F" w:rsidRPr="004325DA">
        <w:t xml:space="preserve">n matière de rendement des élèves </w:t>
      </w:r>
      <w:r w:rsidR="00EF341F" w:rsidRPr="004325DA">
        <w:t xml:space="preserve">selon le </w:t>
      </w:r>
      <w:hyperlink r:id="rId9" w:anchor=":~:text=224%2F23%20%3A%20PRIORIT%C3%89S%20PROVINCIALES%20EN%20%C3%89DUCATION%20%2D%20RENDEMENT%20DES%20%C3%89L%C3%88VES,-en%20vertu%20de&amp;text=P%C3%A9riode%20de%20codification%20%3A%20du%2028,fran%C3%A7aise%20d'un%20r%C3%A8glement%20bilingue." w:tooltip="Priorités provinciales en éducation – rendement des élèves" w:history="1">
        <w:r w:rsidR="00EF341F" w:rsidRPr="004325DA">
          <w:rPr>
            <w:rStyle w:val="Hyperlien"/>
          </w:rPr>
          <w:t>Règlement de l’Ontario 224/23 : Priorités provinciales en éducation</w:t>
        </w:r>
        <w:r w:rsidR="000A6AC0">
          <w:rPr>
            <w:rStyle w:val="Hyperlien"/>
          </w:rPr>
          <w:br/>
        </w:r>
        <w:r w:rsidR="00EF341F" w:rsidRPr="004325DA">
          <w:rPr>
            <w:rStyle w:val="Hyperlien"/>
          </w:rPr>
          <w:t>– rendement des élèves</w:t>
        </w:r>
      </w:hyperlink>
      <w:r w:rsidR="00EF341F" w:rsidRPr="004325DA">
        <w:t> ;</w:t>
      </w:r>
    </w:p>
    <w:p w14:paraId="7903869E" w14:textId="45DA5094" w:rsidR="00EF341F" w:rsidRPr="004325DA" w:rsidRDefault="004F00A2" w:rsidP="00B21E8B">
      <w:pPr>
        <w:pStyle w:val="Listeniveau3"/>
        <w:ind w:left="2347"/>
        <w:contextualSpacing/>
      </w:pPr>
      <w:r w:rsidRPr="004325DA">
        <w:t xml:space="preserve">gérer les ressources humaines, en capital et fiscales, pour atteindre les objectifs énoncés </w:t>
      </w:r>
      <w:r w:rsidR="00A21F25" w:rsidRPr="004325DA">
        <w:t>dans le plan pluriannuel</w:t>
      </w:r>
      <w:r w:rsidR="001C71DE" w:rsidRPr="004325DA">
        <w:t xml:space="preserve"> </w:t>
      </w:r>
      <w:r w:rsidR="00A21F25" w:rsidRPr="004325DA">
        <w:t xml:space="preserve">du Conseil visé à </w:t>
      </w:r>
      <w:hyperlink r:id="rId10" w:anchor="BK147" w:history="1">
        <w:r w:rsidR="00A21F25" w:rsidRPr="004325DA">
          <w:rPr>
            <w:rStyle w:val="Hyperlien"/>
          </w:rPr>
          <w:t>l’alinéa 169.1 (1) f) de la Loi</w:t>
        </w:r>
        <w:r w:rsidR="007E2B30" w:rsidRPr="000A6AC0">
          <w:rPr>
            <w:rStyle w:val="Hyperlien"/>
            <w:color w:val="auto"/>
            <w:u w:val="none"/>
          </w:rPr>
          <w:t> ;</w:t>
        </w:r>
      </w:hyperlink>
    </w:p>
    <w:p w14:paraId="286E5BEF" w14:textId="1FAB5088" w:rsidR="00A21F25" w:rsidRPr="004325DA" w:rsidRDefault="00FB67FE" w:rsidP="00B21E8B">
      <w:pPr>
        <w:pStyle w:val="Listeniveau3"/>
        <w:ind w:left="2347"/>
        <w:contextualSpacing/>
      </w:pPr>
      <w:r w:rsidRPr="004325DA">
        <w:t>promouvoir un lieu de travail sain et inclusif grâce à des systèmes efficaces de sélection et de surveillance du personnel ;</w:t>
      </w:r>
    </w:p>
    <w:p w14:paraId="6840D250" w14:textId="1139AFD7" w:rsidR="00FB67FE" w:rsidRPr="004325DA" w:rsidRDefault="00FB67FE" w:rsidP="00B21E8B">
      <w:pPr>
        <w:pStyle w:val="Listeniveau3"/>
        <w:ind w:left="2347"/>
        <w:contextualSpacing/>
      </w:pPr>
      <w:r w:rsidRPr="004325DA">
        <w:t>créer et maintenir des relations respectueuses et de collaboration avec les élèves, les parents, les membres du personnel, les collectivités desservies par le Conseil, les partenaires et les intervenants communautaires, le personnel du ministère et le ministre ;</w:t>
      </w:r>
    </w:p>
    <w:p w14:paraId="5557CED5" w14:textId="706F8677" w:rsidR="00FB67FE" w:rsidRPr="004325DA" w:rsidRDefault="00807D8F" w:rsidP="00B21E8B">
      <w:pPr>
        <w:pStyle w:val="Listeniveau3"/>
        <w:ind w:left="2347"/>
        <w:contextualSpacing/>
      </w:pPr>
      <w:r w:rsidRPr="004325DA">
        <w:t>faire preuve d’un leadership qui favorise le maintien ou l’amélioration de la réputation du Conseil et de la confiance du public à son égard ;</w:t>
      </w:r>
    </w:p>
    <w:p w14:paraId="1CBE357E" w14:textId="670B9ADA" w:rsidR="00807D8F" w:rsidRPr="004325DA" w:rsidRDefault="00807D8F" w:rsidP="00B21E8B">
      <w:pPr>
        <w:pStyle w:val="Listeniveau3"/>
        <w:ind w:left="2347"/>
        <w:contextualSpacing/>
      </w:pPr>
      <w:r w:rsidRPr="004325DA">
        <w:t>assurer la conformité aux lois applicables, aux politiques et aux lignes directrices du ministère</w:t>
      </w:r>
      <w:r w:rsidR="00EC421C" w:rsidRPr="004325DA">
        <w:t xml:space="preserve"> et aux mandats du Conseil.</w:t>
      </w:r>
    </w:p>
    <w:p w14:paraId="733D819E" w14:textId="3C3678C0" w:rsidR="00A31847" w:rsidRPr="004325DA" w:rsidRDefault="00A31847" w:rsidP="00A31847">
      <w:pPr>
        <w:pStyle w:val="Listeniveau2"/>
        <w:rPr>
          <w:lang w:val="fr-CA"/>
        </w:rPr>
      </w:pPr>
      <w:r w:rsidRPr="004325DA">
        <w:rPr>
          <w:rFonts w:cs="Arial"/>
          <w:lang w:val="fr-CA"/>
        </w:rPr>
        <w:t xml:space="preserve">Toute documentation préparée par </w:t>
      </w:r>
      <w:r w:rsidR="0096732A" w:rsidRPr="004325DA">
        <w:rPr>
          <w:rFonts w:cs="Arial"/>
          <w:lang w:val="fr-CA"/>
        </w:rPr>
        <w:t>la direction</w:t>
      </w:r>
      <w:r w:rsidRPr="004325DA">
        <w:rPr>
          <w:rFonts w:cs="Arial"/>
          <w:lang w:val="fr-CA"/>
        </w:rPr>
        <w:t xml:space="preserve"> de l’éducation ou le </w:t>
      </w:r>
      <w:r w:rsidR="00FD59B4" w:rsidRPr="004325DA">
        <w:rPr>
          <w:rFonts w:cs="Arial"/>
          <w:lang w:val="fr-CA"/>
        </w:rPr>
        <w:t>c</w:t>
      </w:r>
      <w:r w:rsidRPr="004325DA">
        <w:rPr>
          <w:rFonts w:cs="Arial"/>
          <w:lang w:val="fr-CA"/>
        </w:rPr>
        <w:t xml:space="preserve">omité, traitant de la personne directement ou indirectement, est </w:t>
      </w:r>
      <w:r w:rsidRPr="004325DA">
        <w:rPr>
          <w:rFonts w:cs="Arial"/>
          <w:b/>
          <w:lang w:val="fr-CA"/>
        </w:rPr>
        <w:t>confidentielle</w:t>
      </w:r>
      <w:r w:rsidRPr="004325DA">
        <w:rPr>
          <w:rFonts w:cs="Arial"/>
          <w:lang w:val="fr-CA"/>
        </w:rPr>
        <w:t xml:space="preserve"> et la distribution de celle-ci est limitée et contrôlée. Une fois remplis, les outils d’évaluation portent la mention « Un document confidentiel relatif à l’emploi – ne pas distribuer, ne pas copier ».</w:t>
      </w:r>
      <w:r w:rsidR="001961F5" w:rsidRPr="004325DA">
        <w:rPr>
          <w:rFonts w:cs="Arial"/>
          <w:lang w:val="fr-CA"/>
        </w:rPr>
        <w:t xml:space="preserve"> </w:t>
      </w:r>
      <w:r w:rsidR="00AE2936" w:rsidRPr="004325DA">
        <w:rPr>
          <w:rFonts w:cs="Arial"/>
          <w:lang w:val="fr-CA"/>
        </w:rPr>
        <w:t xml:space="preserve">La documentation </w:t>
      </w:r>
      <w:r w:rsidR="001E75FD" w:rsidRPr="004325DA">
        <w:rPr>
          <w:rFonts w:cs="Arial"/>
          <w:lang w:val="fr-CA"/>
        </w:rPr>
        <w:t>doit être conservée pendant au moins six ans à compter de la date de l’ébauche du rapport d’évaluation du rendement</w:t>
      </w:r>
      <w:r w:rsidR="00E007C1" w:rsidRPr="004325DA">
        <w:rPr>
          <w:rFonts w:cs="Arial"/>
          <w:lang w:val="fr-CA"/>
        </w:rPr>
        <w:t>.</w:t>
      </w:r>
    </w:p>
    <w:p w14:paraId="04C4BC33" w14:textId="324250F3" w:rsidR="0009622D" w:rsidRPr="004325DA" w:rsidRDefault="0009622D" w:rsidP="00A31847">
      <w:pPr>
        <w:pStyle w:val="Listeniveau2"/>
        <w:rPr>
          <w:lang w:val="fr-CA"/>
        </w:rPr>
      </w:pPr>
      <w:r w:rsidRPr="004325DA">
        <w:rPr>
          <w:lang w:val="fr-CA"/>
        </w:rPr>
        <w:t>Le comité attribue l’une des notes suivantes à la direction de l’éducation :</w:t>
      </w:r>
    </w:p>
    <w:p w14:paraId="67ED8C08" w14:textId="6C63AD5D" w:rsidR="0009622D" w:rsidRPr="004325DA" w:rsidRDefault="00B62AC8" w:rsidP="004325DA">
      <w:pPr>
        <w:pStyle w:val="Listeniveau3"/>
        <w:ind w:left="2347"/>
        <w:contextualSpacing/>
      </w:pPr>
      <w:r w:rsidRPr="004325DA">
        <w:t>Satisfait à toutes les attentes.</w:t>
      </w:r>
    </w:p>
    <w:p w14:paraId="34B9C2F4" w14:textId="4E199466" w:rsidR="00B62AC8" w:rsidRPr="004325DA" w:rsidRDefault="00B62AC8" w:rsidP="004325DA">
      <w:pPr>
        <w:pStyle w:val="Listeniveau3"/>
        <w:ind w:left="2347"/>
        <w:contextualSpacing/>
      </w:pPr>
      <w:r w:rsidRPr="004325DA">
        <w:t>Satisfait à la plupart des attentes.</w:t>
      </w:r>
    </w:p>
    <w:p w14:paraId="3FFE9DA2" w14:textId="378BD9C2" w:rsidR="00B62AC8" w:rsidRPr="004325DA" w:rsidRDefault="00B62AC8" w:rsidP="004325DA">
      <w:pPr>
        <w:pStyle w:val="Listeniveau3"/>
        <w:ind w:left="2347"/>
        <w:contextualSpacing/>
      </w:pPr>
      <w:r w:rsidRPr="004325DA">
        <w:t>Satisfait à certaines attentes.</w:t>
      </w:r>
    </w:p>
    <w:p w14:paraId="5CF3C9DF" w14:textId="343A00BA" w:rsidR="00B62AC8" w:rsidRPr="004325DA" w:rsidRDefault="00B62AC8" w:rsidP="004325DA">
      <w:pPr>
        <w:pStyle w:val="Listeniveau3"/>
        <w:ind w:left="2347"/>
        <w:contextualSpacing/>
      </w:pPr>
      <w:r w:rsidRPr="004325DA">
        <w:t>Ne satisfait pas aux attentes.</w:t>
      </w:r>
    </w:p>
    <w:p w14:paraId="4B0F4D3B" w14:textId="65B80884" w:rsidR="00155029" w:rsidRPr="004325DA" w:rsidRDefault="00A31847" w:rsidP="0009622D">
      <w:pPr>
        <w:pStyle w:val="Listeniveau2"/>
        <w:rPr>
          <w:lang w:val="fr-CA"/>
        </w:rPr>
      </w:pPr>
      <w:r w:rsidRPr="004325DA">
        <w:rPr>
          <w:rFonts w:cs="Arial"/>
          <w:lang w:val="fr-CA"/>
        </w:rPr>
        <w:lastRenderedPageBreak/>
        <w:t>À la fin du cycle d’évaluation, seul</w:t>
      </w:r>
      <w:r w:rsidR="00A60897" w:rsidRPr="004325DA">
        <w:rPr>
          <w:rFonts w:cs="Arial"/>
          <w:lang w:val="fr-CA"/>
        </w:rPr>
        <w:t>e la version finale du</w:t>
      </w:r>
      <w:r w:rsidRPr="004325DA">
        <w:rPr>
          <w:rFonts w:cs="Arial"/>
          <w:lang w:val="fr-CA"/>
        </w:rPr>
        <w:t xml:space="preserve"> « Rapport d’évaluation du rendement</w:t>
      </w:r>
      <w:r w:rsidR="000630AF" w:rsidRPr="004325DA">
        <w:rPr>
          <w:rFonts w:cs="Arial"/>
          <w:lang w:val="fr-CA"/>
        </w:rPr>
        <w:t xml:space="preserve"> </w:t>
      </w:r>
      <w:r w:rsidRPr="004325DA">
        <w:rPr>
          <w:rFonts w:cs="Arial"/>
          <w:lang w:val="fr-CA"/>
        </w:rPr>
        <w:t xml:space="preserve">» comprenant une </w:t>
      </w:r>
      <w:r w:rsidR="00155029" w:rsidRPr="004325DA">
        <w:rPr>
          <w:rFonts w:cs="Arial"/>
          <w:lang w:val="fr-CA"/>
        </w:rPr>
        <w:t xml:space="preserve">note </w:t>
      </w:r>
      <w:r w:rsidRPr="004325DA">
        <w:rPr>
          <w:rFonts w:cs="Arial"/>
          <w:lang w:val="fr-CA"/>
        </w:rPr>
        <w:t xml:space="preserve">est conservé au dossier de l’employé. Une copie </w:t>
      </w:r>
      <w:r w:rsidR="00E15985" w:rsidRPr="004325DA">
        <w:rPr>
          <w:rFonts w:cs="Arial"/>
          <w:lang w:val="fr-CA"/>
        </w:rPr>
        <w:t>du</w:t>
      </w:r>
      <w:r w:rsidRPr="004325DA">
        <w:rPr>
          <w:rFonts w:cs="Arial"/>
          <w:lang w:val="fr-CA"/>
        </w:rPr>
        <w:t xml:space="preserve"> rapport est remise </w:t>
      </w:r>
      <w:r w:rsidR="0096732A" w:rsidRPr="004325DA">
        <w:rPr>
          <w:rFonts w:cs="Arial"/>
          <w:lang w:val="fr-CA"/>
        </w:rPr>
        <w:t>à la direction</w:t>
      </w:r>
      <w:r w:rsidRPr="004325DA">
        <w:rPr>
          <w:rFonts w:cs="Arial"/>
          <w:lang w:val="fr-CA"/>
        </w:rPr>
        <w:t xml:space="preserve"> de l’éducation. Toute autre documentation utilisée </w:t>
      </w:r>
      <w:r w:rsidR="00E15985" w:rsidRPr="004325DA">
        <w:rPr>
          <w:rFonts w:cs="Arial"/>
          <w:lang w:val="fr-CA"/>
        </w:rPr>
        <w:t>dans</w:t>
      </w:r>
      <w:r w:rsidRPr="004325DA">
        <w:rPr>
          <w:rFonts w:cs="Arial"/>
          <w:lang w:val="fr-CA"/>
        </w:rPr>
        <w:t xml:space="preserve"> le processus d’évaluation est détruite</w:t>
      </w:r>
      <w:r w:rsidR="003A7F3A" w:rsidRPr="004325DA">
        <w:rPr>
          <w:rFonts w:cs="Arial"/>
          <w:lang w:val="fr-CA"/>
        </w:rPr>
        <w:t>.</w:t>
      </w:r>
    </w:p>
    <w:p w14:paraId="42B2E4F9" w14:textId="03BEB313" w:rsidR="007553E3" w:rsidRPr="004325DA" w:rsidRDefault="003D1A76" w:rsidP="00693748">
      <w:pPr>
        <w:pStyle w:val="Listeniveau2"/>
        <w:rPr>
          <w:lang w:val="fr-CA"/>
        </w:rPr>
      </w:pPr>
      <w:r w:rsidRPr="004325DA">
        <w:rPr>
          <w:lang w:val="fr-CA"/>
        </w:rPr>
        <w:t xml:space="preserve">Au cours du premier cycle d’évaluation complet </w:t>
      </w:r>
      <w:r w:rsidR="00053D02" w:rsidRPr="004325DA">
        <w:rPr>
          <w:lang w:val="fr-CA"/>
        </w:rPr>
        <w:t>et tous les deux cycles d’évaluation complets par la suite, l</w:t>
      </w:r>
      <w:r w:rsidR="00EB3690" w:rsidRPr="004325DA">
        <w:rPr>
          <w:lang w:val="fr-CA"/>
        </w:rPr>
        <w:t xml:space="preserve">e Conseil veille à qu’une entité qui compte au moins cinq ans d’expérience à effectuer des évaluations </w:t>
      </w:r>
      <w:r w:rsidR="007553E3" w:rsidRPr="004325DA">
        <w:rPr>
          <w:lang w:val="fr-CA"/>
        </w:rPr>
        <w:t xml:space="preserve">de rendement </w:t>
      </w:r>
      <w:r w:rsidR="007553E3" w:rsidRPr="006530EE">
        <w:rPr>
          <w:b/>
          <w:bCs/>
          <w:lang w:val="fr-CA"/>
        </w:rPr>
        <w:t xml:space="preserve">360 </w:t>
      </w:r>
      <w:r w:rsidR="00C93391" w:rsidRPr="006530EE">
        <w:rPr>
          <w:b/>
          <w:bCs/>
          <w:lang w:val="fr-CA"/>
        </w:rPr>
        <w:t>degrés</w:t>
      </w:r>
      <w:r w:rsidR="00C93391" w:rsidRPr="004325DA">
        <w:rPr>
          <w:lang w:val="fr-CA"/>
        </w:rPr>
        <w:t xml:space="preserve"> </w:t>
      </w:r>
      <w:r w:rsidR="007553E3" w:rsidRPr="004325DA">
        <w:rPr>
          <w:lang w:val="fr-CA"/>
        </w:rPr>
        <w:t>pour les cadres prenne les mesures suivant</w:t>
      </w:r>
      <w:r w:rsidR="00693748" w:rsidRPr="004325DA">
        <w:rPr>
          <w:lang w:val="fr-CA"/>
        </w:rPr>
        <w:t>es</w:t>
      </w:r>
      <w:r w:rsidR="00DB5060" w:rsidRPr="004325DA">
        <w:rPr>
          <w:lang w:val="fr-CA"/>
        </w:rPr>
        <w:t>.</w:t>
      </w:r>
    </w:p>
    <w:p w14:paraId="3640B873" w14:textId="23BBA1A9" w:rsidR="00AC5E16" w:rsidRPr="004325DA" w:rsidRDefault="00AC5E16" w:rsidP="007553E3">
      <w:pPr>
        <w:pStyle w:val="Listeniveau3"/>
        <w:ind w:left="2340"/>
      </w:pPr>
      <w:r w:rsidRPr="004325DA">
        <w:t xml:space="preserve">Les personnes suivantes sont </w:t>
      </w:r>
      <w:r w:rsidR="00647651" w:rsidRPr="004325DA">
        <w:t>demandées</w:t>
      </w:r>
      <w:r w:rsidRPr="004325DA">
        <w:t xml:space="preserve"> leurs observations au sujet du rendement de la direction de l’éducation </w:t>
      </w:r>
      <w:r w:rsidR="008A2575" w:rsidRPr="004325DA">
        <w:t>et un rapport écrit est rédigé résumant leurs observations :</w:t>
      </w:r>
    </w:p>
    <w:p w14:paraId="6BF0D842" w14:textId="77777777" w:rsidR="00AC5E16" w:rsidRPr="004325DA" w:rsidRDefault="00AC5E16" w:rsidP="004325DA">
      <w:pPr>
        <w:pStyle w:val="Listeniveau3"/>
        <w:numPr>
          <w:ilvl w:val="3"/>
          <w:numId w:val="15"/>
        </w:numPr>
        <w:tabs>
          <w:tab w:val="left" w:pos="3240"/>
        </w:tabs>
        <w:ind w:left="3254" w:hanging="907"/>
        <w:contextualSpacing/>
      </w:pPr>
      <w:r w:rsidRPr="004325DA">
        <w:t>chaque membre du Conseil ;</w:t>
      </w:r>
    </w:p>
    <w:p w14:paraId="11A55CEE" w14:textId="77777777" w:rsidR="00AC5E16" w:rsidRPr="004325DA" w:rsidRDefault="00AC5E16" w:rsidP="004325DA">
      <w:pPr>
        <w:pStyle w:val="Listeniveau3"/>
        <w:numPr>
          <w:ilvl w:val="3"/>
          <w:numId w:val="15"/>
        </w:numPr>
        <w:tabs>
          <w:tab w:val="left" w:pos="3240"/>
        </w:tabs>
        <w:ind w:left="3254" w:hanging="907"/>
        <w:contextualSpacing/>
      </w:pPr>
      <w:r w:rsidRPr="004325DA">
        <w:t>chaque élève conseiller ;</w:t>
      </w:r>
    </w:p>
    <w:p w14:paraId="0FEAE12B" w14:textId="77777777" w:rsidR="00AC5E16" w:rsidRPr="004325DA" w:rsidRDefault="00AC5E16" w:rsidP="004325DA">
      <w:pPr>
        <w:pStyle w:val="Listeniveau3"/>
        <w:numPr>
          <w:ilvl w:val="3"/>
          <w:numId w:val="15"/>
        </w:numPr>
        <w:tabs>
          <w:tab w:val="left" w:pos="3240"/>
        </w:tabs>
        <w:ind w:left="3254" w:hanging="907"/>
        <w:contextualSpacing/>
      </w:pPr>
      <w:r w:rsidRPr="004325DA">
        <w:t>chaque membre de tous les comités prévus par la Loi, comités spéciaux ou autres comités du Conseil ;</w:t>
      </w:r>
    </w:p>
    <w:p w14:paraId="40CCE5C5" w14:textId="77777777" w:rsidR="00AC5E16" w:rsidRPr="004325DA" w:rsidRDefault="00AC5E16" w:rsidP="004325DA">
      <w:pPr>
        <w:pStyle w:val="Listeniveau3"/>
        <w:numPr>
          <w:ilvl w:val="3"/>
          <w:numId w:val="15"/>
        </w:numPr>
        <w:tabs>
          <w:tab w:val="left" w:pos="3240"/>
        </w:tabs>
        <w:ind w:left="3254" w:hanging="907"/>
        <w:contextualSpacing/>
      </w:pPr>
      <w:r w:rsidRPr="004325DA">
        <w:t>chaque membre du personnel qui relève directement de la direction de l’éducation ;</w:t>
      </w:r>
    </w:p>
    <w:p w14:paraId="0F97846C" w14:textId="77777777" w:rsidR="00AC5E16" w:rsidRPr="004325DA" w:rsidRDefault="00AC5E16" w:rsidP="004325DA">
      <w:pPr>
        <w:pStyle w:val="Listeniveau3"/>
        <w:numPr>
          <w:ilvl w:val="3"/>
          <w:numId w:val="15"/>
        </w:numPr>
        <w:tabs>
          <w:tab w:val="left" w:pos="3240"/>
        </w:tabs>
        <w:ind w:left="3254" w:hanging="907"/>
        <w:contextualSpacing/>
      </w:pPr>
      <w:r w:rsidRPr="004325DA">
        <w:t>un représentant nommé par chaque association d’employés locale qui représente les employés du Conseil ;</w:t>
      </w:r>
    </w:p>
    <w:p w14:paraId="249A5D67" w14:textId="7152DE00" w:rsidR="005D549C" w:rsidRPr="004325DA" w:rsidRDefault="00AC5E16" w:rsidP="004325DA">
      <w:pPr>
        <w:pStyle w:val="Listeniveau3"/>
        <w:numPr>
          <w:ilvl w:val="3"/>
          <w:numId w:val="15"/>
        </w:numPr>
        <w:tabs>
          <w:tab w:val="left" w:pos="3240"/>
        </w:tabs>
        <w:ind w:left="3254" w:hanging="907"/>
        <w:contextualSpacing/>
      </w:pPr>
      <w:r w:rsidRPr="004325DA">
        <w:t>un échantillon représentatif des partenaires et intervenants communautaires que désigne le comité, avec les observations.</w:t>
      </w:r>
    </w:p>
    <w:p w14:paraId="22E76E34" w14:textId="54B8EF75" w:rsidR="00ED2664" w:rsidRPr="004325DA" w:rsidRDefault="00ED2664" w:rsidP="00ED2664">
      <w:pPr>
        <w:pStyle w:val="Sous-titre"/>
        <w:rPr>
          <w:lang w:val="fr-CA"/>
        </w:rPr>
      </w:pPr>
      <w:r w:rsidRPr="004325DA">
        <w:rPr>
          <w:lang w:val="fr-CA"/>
        </w:rPr>
        <w:t>référence</w:t>
      </w:r>
      <w:r w:rsidR="006149D2" w:rsidRPr="004325DA">
        <w:rPr>
          <w:lang w:val="fr-CA"/>
        </w:rPr>
        <w:t>s</w:t>
      </w:r>
    </w:p>
    <w:p w14:paraId="6491667E" w14:textId="07E303D6" w:rsidR="00E921B6" w:rsidRPr="004325DA" w:rsidRDefault="00E921B6" w:rsidP="00ED2664">
      <w:pPr>
        <w:pStyle w:val="Listeniveau2"/>
        <w:ind w:hanging="540"/>
        <w:rPr>
          <w:lang w:eastAsia="fr-CA"/>
        </w:rPr>
      </w:pPr>
      <w:hyperlink r:id="rId11" w:tooltip="Évaluation du rendement des directeurs de l’éducation" w:history="1">
        <w:r w:rsidRPr="004325DA">
          <w:rPr>
            <w:rStyle w:val="Hyperlien"/>
            <w:lang w:eastAsia="fr-CA"/>
          </w:rPr>
          <w:t>Règlement</w:t>
        </w:r>
        <w:r w:rsidR="008E39D9" w:rsidRPr="004325DA">
          <w:rPr>
            <w:rStyle w:val="Hyperlien"/>
            <w:lang w:eastAsia="fr-CA"/>
          </w:rPr>
          <w:t xml:space="preserve"> de l’Ontario 83/24 : </w:t>
        </w:r>
        <w:r w:rsidR="006D06A8" w:rsidRPr="004325DA">
          <w:rPr>
            <w:rStyle w:val="Hyperlien"/>
            <w:lang w:eastAsia="fr-CA"/>
          </w:rPr>
          <w:t>É</w:t>
        </w:r>
        <w:r w:rsidR="008E39D9" w:rsidRPr="004325DA">
          <w:rPr>
            <w:rStyle w:val="Hyperlien"/>
            <w:lang w:eastAsia="fr-CA"/>
          </w:rPr>
          <w:t>valuation du rendement des directeurs de l’éducation</w:t>
        </w:r>
      </w:hyperlink>
    </w:p>
    <w:p w14:paraId="60BF3880" w14:textId="6DF4D4B7" w:rsidR="00ED2664" w:rsidRPr="004325DA" w:rsidRDefault="00ED2664" w:rsidP="00ED2664">
      <w:pPr>
        <w:pStyle w:val="Listeniveau2"/>
        <w:ind w:hanging="540"/>
        <w:rPr>
          <w:lang w:eastAsia="fr-CA"/>
        </w:rPr>
      </w:pPr>
      <w:hyperlink r:id="rId12" w:history="1">
        <w:r w:rsidRPr="004325DA">
          <w:rPr>
            <w:rStyle w:val="Hyperlien"/>
          </w:rPr>
          <w:t>Une gouvernance efficace : Guide à l’intention des conseils scolaires,</w:t>
        </w:r>
        <w:r w:rsidRPr="004325DA">
          <w:t xml:space="preserve"> </w:t>
        </w:r>
        <w:r w:rsidRPr="004325DA">
          <w:rPr>
            <w:rStyle w:val="Hyperlien"/>
          </w:rPr>
          <w:t>de leurs membres,</w:t>
        </w:r>
        <w:r w:rsidR="0014326B" w:rsidRPr="004325DA">
          <w:rPr>
            <w:rStyle w:val="Hyperlien"/>
          </w:rPr>
          <w:br/>
        </w:r>
        <w:r w:rsidRPr="004325DA">
          <w:rPr>
            <w:rStyle w:val="Hyperlien"/>
          </w:rPr>
          <w:t>des directions de l’éducation et des communautés 2022-2026</w:t>
        </w:r>
      </w:hyperlink>
    </w:p>
    <w:sectPr w:rsidR="00ED2664" w:rsidRPr="004325DA" w:rsidSect="002E427A">
      <w:headerReference w:type="even" r:id="rId13"/>
      <w:footerReference w:type="even" r:id="rId14"/>
      <w:footerReference w:type="default" r:id="rId15"/>
      <w:headerReference w:type="first" r:id="rId16"/>
      <w:footerReference w:type="first" r:id="rId17"/>
      <w:pgSz w:w="12240" w:h="15840"/>
      <w:pgMar w:top="540" w:right="360" w:bottom="0" w:left="720" w:header="70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59F27" w14:textId="77777777" w:rsidR="00CA67A9" w:rsidRDefault="00CA67A9">
      <w:r>
        <w:separator/>
      </w:r>
    </w:p>
    <w:p w14:paraId="62277E85" w14:textId="77777777" w:rsidR="00CA67A9" w:rsidRDefault="00CA67A9"/>
  </w:endnote>
  <w:endnote w:type="continuationSeparator" w:id="0">
    <w:p w14:paraId="139E6D90" w14:textId="77777777" w:rsidR="00CA67A9" w:rsidRDefault="00CA67A9">
      <w:r>
        <w:continuationSeparator/>
      </w:r>
    </w:p>
    <w:p w14:paraId="3FDDDE64" w14:textId="77777777" w:rsidR="00CA67A9" w:rsidRDefault="00CA67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w:altName w:val="Segoe UI"/>
    <w:charset w:val="00"/>
    <w:family w:val="swiss"/>
    <w:pitch w:val="variable"/>
    <w:sig w:usb0="00000087" w:usb1="00000000" w:usb2="00000000" w:usb3="00000000" w:csb0="0000009B" w:csb1="00000000"/>
  </w:font>
  <w:font w:name="Segoe Pro">
    <w:charset w:val="00"/>
    <w:family w:val="swiss"/>
    <w:pitch w:val="variable"/>
    <w:sig w:usb0="A00002AF" w:usb1="4000205B"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45570" w14:textId="77777777" w:rsidR="0077362E" w:rsidRDefault="0077362E" w:rsidP="00FD0C64">
    <w:pPr>
      <w:framePr w:wrap="around" w:vAnchor="text" w:hAnchor="margin" w:xAlign="right" w:y="1"/>
    </w:pPr>
    <w:r>
      <w:fldChar w:fldCharType="begin"/>
    </w:r>
    <w:r>
      <w:instrText xml:space="preserve">PAGE  </w:instrText>
    </w:r>
    <w:r>
      <w:fldChar w:fldCharType="end"/>
    </w:r>
  </w:p>
  <w:p w14:paraId="4EAE724B" w14:textId="77777777" w:rsidR="0077362E" w:rsidRDefault="0077362E" w:rsidP="00FD0C64">
    <w:pPr>
      <w:ind w:right="360"/>
    </w:pPr>
  </w:p>
  <w:p w14:paraId="13484D0A" w14:textId="77777777" w:rsidR="00A60E3F" w:rsidRDefault="00A60E3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A5A05" w14:textId="1605956D" w:rsidR="0077362E" w:rsidRPr="003144E6" w:rsidRDefault="004540B6" w:rsidP="00C801BB">
    <w:pPr>
      <w:ind w:right="720"/>
      <w:jc w:val="right"/>
      <w:rPr>
        <w:rFonts w:ascii="Segoe Pro" w:hAnsi="Segoe Pro"/>
        <w:sz w:val="18"/>
        <w:szCs w:val="18"/>
      </w:rPr>
    </w:pPr>
    <w:r w:rsidRPr="003144E6">
      <w:rPr>
        <w:rFonts w:ascii="Segoe Pro" w:hAnsi="Segoe Pro"/>
        <w:sz w:val="18"/>
        <w:szCs w:val="18"/>
      </w:rPr>
      <w:t>GOU</w:t>
    </w:r>
    <w:r w:rsidR="00935F5F" w:rsidRPr="003144E6">
      <w:rPr>
        <w:rFonts w:ascii="Segoe Pro" w:hAnsi="Segoe Pro"/>
        <w:sz w:val="18"/>
        <w:szCs w:val="18"/>
      </w:rPr>
      <w:t xml:space="preserve"> 21.0</w:t>
    </w:r>
  </w:p>
  <w:p w14:paraId="38343C49" w14:textId="2D6A902B" w:rsidR="00A60E3F" w:rsidRPr="003144E6" w:rsidRDefault="0077362E" w:rsidP="00A514E9">
    <w:pPr>
      <w:ind w:right="720"/>
      <w:jc w:val="right"/>
      <w:rPr>
        <w:rFonts w:ascii="Segoe Pro" w:hAnsi="Segoe Pro"/>
        <w:sz w:val="18"/>
        <w:szCs w:val="18"/>
      </w:rPr>
    </w:pPr>
    <w:r w:rsidRPr="003144E6">
      <w:rPr>
        <w:rFonts w:ascii="Segoe Pro" w:hAnsi="Segoe Pro"/>
        <w:sz w:val="18"/>
        <w:szCs w:val="18"/>
      </w:rPr>
      <w:t xml:space="preserve">Page </w:t>
    </w:r>
    <w:r w:rsidRPr="003144E6">
      <w:rPr>
        <w:rFonts w:ascii="Segoe Pro" w:hAnsi="Segoe Pro"/>
        <w:sz w:val="18"/>
        <w:szCs w:val="18"/>
      </w:rPr>
      <w:fldChar w:fldCharType="begin"/>
    </w:r>
    <w:r w:rsidRPr="003144E6">
      <w:rPr>
        <w:rFonts w:ascii="Segoe Pro" w:hAnsi="Segoe Pro"/>
        <w:sz w:val="18"/>
        <w:szCs w:val="18"/>
      </w:rPr>
      <w:instrText xml:space="preserve"> PAGE </w:instrText>
    </w:r>
    <w:r w:rsidRPr="003144E6">
      <w:rPr>
        <w:rFonts w:ascii="Segoe Pro" w:hAnsi="Segoe Pro"/>
        <w:sz w:val="18"/>
        <w:szCs w:val="18"/>
      </w:rPr>
      <w:fldChar w:fldCharType="separate"/>
    </w:r>
    <w:r w:rsidR="00C83CD0" w:rsidRPr="003144E6">
      <w:rPr>
        <w:rFonts w:ascii="Segoe Pro" w:hAnsi="Segoe Pro"/>
        <w:noProof/>
        <w:sz w:val="18"/>
        <w:szCs w:val="18"/>
      </w:rPr>
      <w:t>1</w:t>
    </w:r>
    <w:r w:rsidRPr="003144E6">
      <w:rPr>
        <w:rFonts w:ascii="Segoe Pro" w:hAnsi="Segoe Pro"/>
        <w:sz w:val="18"/>
        <w:szCs w:val="18"/>
      </w:rPr>
      <w:fldChar w:fldCharType="end"/>
    </w:r>
    <w:r w:rsidRPr="003144E6">
      <w:rPr>
        <w:rFonts w:ascii="Segoe Pro" w:hAnsi="Segoe Pro"/>
        <w:sz w:val="18"/>
        <w:szCs w:val="18"/>
      </w:rPr>
      <w:t xml:space="preserve"> sur </w:t>
    </w:r>
    <w:r w:rsidRPr="003144E6">
      <w:rPr>
        <w:rFonts w:ascii="Segoe Pro" w:hAnsi="Segoe Pro"/>
        <w:sz w:val="18"/>
        <w:szCs w:val="18"/>
      </w:rPr>
      <w:fldChar w:fldCharType="begin"/>
    </w:r>
    <w:r w:rsidRPr="003144E6">
      <w:rPr>
        <w:rFonts w:ascii="Segoe Pro" w:hAnsi="Segoe Pro"/>
        <w:sz w:val="18"/>
        <w:szCs w:val="18"/>
      </w:rPr>
      <w:instrText xml:space="preserve"> NUMPAGES </w:instrText>
    </w:r>
    <w:r w:rsidRPr="003144E6">
      <w:rPr>
        <w:rFonts w:ascii="Segoe Pro" w:hAnsi="Segoe Pro"/>
        <w:sz w:val="18"/>
        <w:szCs w:val="18"/>
      </w:rPr>
      <w:fldChar w:fldCharType="separate"/>
    </w:r>
    <w:r w:rsidR="00C83CD0" w:rsidRPr="003144E6">
      <w:rPr>
        <w:rFonts w:ascii="Segoe Pro" w:hAnsi="Segoe Pro"/>
        <w:noProof/>
        <w:sz w:val="18"/>
        <w:szCs w:val="18"/>
      </w:rPr>
      <w:t>2</w:t>
    </w:r>
    <w:r w:rsidRPr="003144E6">
      <w:rPr>
        <w:rFonts w:ascii="Segoe Pro" w:hAnsi="Segoe Pr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B8E02" w14:textId="65EB2363" w:rsidR="00CF0ABC" w:rsidRPr="00C801BB" w:rsidRDefault="0061668C" w:rsidP="00C512CA">
    <w:pPr>
      <w:pStyle w:val="Stylepieddepage"/>
    </w:pPr>
    <w:r>
      <w:t>GOU</w:t>
    </w:r>
    <w:r w:rsidR="00935F5F">
      <w:t xml:space="preserve"> 21.0</w:t>
    </w:r>
  </w:p>
  <w:p w14:paraId="768436E6" w14:textId="1F377FB2" w:rsidR="00A60E3F" w:rsidRPr="00053A3A" w:rsidRDefault="00CF0ABC" w:rsidP="00C512CA">
    <w:pPr>
      <w:pStyle w:val="Stylepieddepage"/>
    </w:pPr>
    <w:r w:rsidRPr="00C801BB">
      <w:t xml:space="preserve">Page </w:t>
    </w:r>
    <w:r w:rsidRPr="00C801BB">
      <w:fldChar w:fldCharType="begin"/>
    </w:r>
    <w:r w:rsidRPr="00C801BB">
      <w:instrText xml:space="preserve"> PAGE </w:instrText>
    </w:r>
    <w:r w:rsidRPr="00C801BB">
      <w:fldChar w:fldCharType="separate"/>
    </w:r>
    <w:r>
      <w:t>2</w:t>
    </w:r>
    <w:r w:rsidRPr="00C801BB">
      <w:fldChar w:fldCharType="end"/>
    </w:r>
    <w:r w:rsidRPr="00C801BB">
      <w:t xml:space="preserve"> sur </w:t>
    </w:r>
    <w:fldSimple w:instr=" NUMPAGES ">
      <w: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AC2DC" w14:textId="77777777" w:rsidR="00CA67A9" w:rsidRDefault="00CA67A9">
      <w:r>
        <w:separator/>
      </w:r>
    </w:p>
    <w:p w14:paraId="4EA22CE4" w14:textId="77777777" w:rsidR="00CA67A9" w:rsidRDefault="00CA67A9"/>
  </w:footnote>
  <w:footnote w:type="continuationSeparator" w:id="0">
    <w:p w14:paraId="415B9507" w14:textId="77777777" w:rsidR="00CA67A9" w:rsidRDefault="00CA67A9">
      <w:r>
        <w:continuationSeparator/>
      </w:r>
    </w:p>
    <w:p w14:paraId="7170FADE" w14:textId="77777777" w:rsidR="00CA67A9" w:rsidRDefault="00CA67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FCD52" w14:textId="77777777" w:rsidR="0061668C" w:rsidRDefault="0061668C">
    <w:pPr>
      <w:pStyle w:val="En-tte"/>
    </w:pPr>
  </w:p>
  <w:p w14:paraId="7195053F" w14:textId="77777777" w:rsidR="00A60E3F" w:rsidRDefault="00A60E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B2D9" w14:textId="35E80742" w:rsidR="00A60E3F" w:rsidRDefault="00C512CA" w:rsidP="00C30AA4">
    <w:pPr>
      <w:pStyle w:val="En-tte"/>
      <w:ind w:firstLine="630"/>
    </w:pPr>
    <w:r w:rsidRPr="00607DCE">
      <w:rPr>
        <w:noProof/>
        <w:lang w:val="fr-FR"/>
      </w:rPr>
      <w:drawing>
        <wp:inline distT="0" distB="0" distL="0" distR="0" wp14:anchorId="216B3B55" wp14:editId="29CFE2E1">
          <wp:extent cx="1364673" cy="817569"/>
          <wp:effectExtent l="0" t="0" r="6985" b="1905"/>
          <wp:docPr id="656981861" name="Image 656981861" descr="Logo du Conseil scolaire catholique Nouvel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4047" t="29225" r="23746" b="30301"/>
                  <a:stretch/>
                </pic:blipFill>
                <pic:spPr bwMode="auto">
                  <a:xfrm>
                    <a:off x="0" y="0"/>
                    <a:ext cx="1364673" cy="81756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A5D4A"/>
    <w:multiLevelType w:val="hybridMultilevel"/>
    <w:tmpl w:val="D0B8A0A2"/>
    <w:lvl w:ilvl="0" w:tplc="0C0C0001">
      <w:start w:val="1"/>
      <w:numFmt w:val="bullet"/>
      <w:lvlText w:val=""/>
      <w:lvlJc w:val="left"/>
      <w:pPr>
        <w:tabs>
          <w:tab w:val="num" w:pos="888"/>
        </w:tabs>
        <w:ind w:left="888" w:hanging="360"/>
      </w:pPr>
      <w:rPr>
        <w:rFonts w:ascii="Symbol" w:hAnsi="Symbol" w:hint="default"/>
      </w:rPr>
    </w:lvl>
    <w:lvl w:ilvl="1" w:tplc="0C0C0003" w:tentative="1">
      <w:start w:val="1"/>
      <w:numFmt w:val="bullet"/>
      <w:lvlText w:val="o"/>
      <w:lvlJc w:val="left"/>
      <w:pPr>
        <w:tabs>
          <w:tab w:val="num" w:pos="1608"/>
        </w:tabs>
        <w:ind w:left="1608" w:hanging="360"/>
      </w:pPr>
      <w:rPr>
        <w:rFonts w:ascii="Courier New" w:hAnsi="Courier New" w:cs="Courier New" w:hint="default"/>
      </w:rPr>
    </w:lvl>
    <w:lvl w:ilvl="2" w:tplc="0C0C0005" w:tentative="1">
      <w:start w:val="1"/>
      <w:numFmt w:val="bullet"/>
      <w:lvlText w:val=""/>
      <w:lvlJc w:val="left"/>
      <w:pPr>
        <w:tabs>
          <w:tab w:val="num" w:pos="2328"/>
        </w:tabs>
        <w:ind w:left="2328" w:hanging="360"/>
      </w:pPr>
      <w:rPr>
        <w:rFonts w:ascii="Wingdings" w:hAnsi="Wingdings" w:hint="default"/>
      </w:rPr>
    </w:lvl>
    <w:lvl w:ilvl="3" w:tplc="0C0C0001" w:tentative="1">
      <w:start w:val="1"/>
      <w:numFmt w:val="bullet"/>
      <w:lvlText w:val=""/>
      <w:lvlJc w:val="left"/>
      <w:pPr>
        <w:tabs>
          <w:tab w:val="num" w:pos="3048"/>
        </w:tabs>
        <w:ind w:left="3048" w:hanging="360"/>
      </w:pPr>
      <w:rPr>
        <w:rFonts w:ascii="Symbol" w:hAnsi="Symbol" w:hint="default"/>
      </w:rPr>
    </w:lvl>
    <w:lvl w:ilvl="4" w:tplc="0C0C0003" w:tentative="1">
      <w:start w:val="1"/>
      <w:numFmt w:val="bullet"/>
      <w:lvlText w:val="o"/>
      <w:lvlJc w:val="left"/>
      <w:pPr>
        <w:tabs>
          <w:tab w:val="num" w:pos="3768"/>
        </w:tabs>
        <w:ind w:left="3768" w:hanging="360"/>
      </w:pPr>
      <w:rPr>
        <w:rFonts w:ascii="Courier New" w:hAnsi="Courier New" w:cs="Courier New" w:hint="default"/>
      </w:rPr>
    </w:lvl>
    <w:lvl w:ilvl="5" w:tplc="0C0C0005" w:tentative="1">
      <w:start w:val="1"/>
      <w:numFmt w:val="bullet"/>
      <w:lvlText w:val=""/>
      <w:lvlJc w:val="left"/>
      <w:pPr>
        <w:tabs>
          <w:tab w:val="num" w:pos="4488"/>
        </w:tabs>
        <w:ind w:left="4488" w:hanging="360"/>
      </w:pPr>
      <w:rPr>
        <w:rFonts w:ascii="Wingdings" w:hAnsi="Wingdings" w:hint="default"/>
      </w:rPr>
    </w:lvl>
    <w:lvl w:ilvl="6" w:tplc="0C0C0001" w:tentative="1">
      <w:start w:val="1"/>
      <w:numFmt w:val="bullet"/>
      <w:lvlText w:val=""/>
      <w:lvlJc w:val="left"/>
      <w:pPr>
        <w:tabs>
          <w:tab w:val="num" w:pos="5208"/>
        </w:tabs>
        <w:ind w:left="5208" w:hanging="360"/>
      </w:pPr>
      <w:rPr>
        <w:rFonts w:ascii="Symbol" w:hAnsi="Symbol" w:hint="default"/>
      </w:rPr>
    </w:lvl>
    <w:lvl w:ilvl="7" w:tplc="0C0C0003" w:tentative="1">
      <w:start w:val="1"/>
      <w:numFmt w:val="bullet"/>
      <w:lvlText w:val="o"/>
      <w:lvlJc w:val="left"/>
      <w:pPr>
        <w:tabs>
          <w:tab w:val="num" w:pos="5928"/>
        </w:tabs>
        <w:ind w:left="5928" w:hanging="360"/>
      </w:pPr>
      <w:rPr>
        <w:rFonts w:ascii="Courier New" w:hAnsi="Courier New" w:cs="Courier New" w:hint="default"/>
      </w:rPr>
    </w:lvl>
    <w:lvl w:ilvl="8" w:tplc="0C0C0005" w:tentative="1">
      <w:start w:val="1"/>
      <w:numFmt w:val="bullet"/>
      <w:lvlText w:val=""/>
      <w:lvlJc w:val="left"/>
      <w:pPr>
        <w:tabs>
          <w:tab w:val="num" w:pos="6648"/>
        </w:tabs>
        <w:ind w:left="6648" w:hanging="360"/>
      </w:pPr>
      <w:rPr>
        <w:rFonts w:ascii="Wingdings" w:hAnsi="Wingdings" w:hint="default"/>
      </w:rPr>
    </w:lvl>
  </w:abstractNum>
  <w:abstractNum w:abstractNumId="1" w15:restartNumberingAfterBreak="0">
    <w:nsid w:val="12F04393"/>
    <w:multiLevelType w:val="hybridMultilevel"/>
    <w:tmpl w:val="4D308A80"/>
    <w:lvl w:ilvl="0" w:tplc="205EF5F8">
      <w:start w:val="1"/>
      <w:numFmt w:val="bullet"/>
      <w:lvlText w:val="-"/>
      <w:lvlJc w:val="left"/>
      <w:pPr>
        <w:ind w:left="2880" w:hanging="360"/>
      </w:pPr>
      <w:rPr>
        <w:rFonts w:ascii="Arial" w:hAnsi="Aria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C0003" w:tentative="1">
      <w:start w:val="1"/>
      <w:numFmt w:val="bullet"/>
      <w:lvlText w:val="o"/>
      <w:lvlJc w:val="left"/>
      <w:pPr>
        <w:ind w:left="3600" w:hanging="360"/>
      </w:pPr>
      <w:rPr>
        <w:rFonts w:ascii="Courier New" w:hAnsi="Courier New" w:cs="Courier New" w:hint="default"/>
      </w:rPr>
    </w:lvl>
    <w:lvl w:ilvl="2" w:tplc="0C0C0005" w:tentative="1">
      <w:start w:val="1"/>
      <w:numFmt w:val="bullet"/>
      <w:lvlText w:val=""/>
      <w:lvlJc w:val="left"/>
      <w:pPr>
        <w:ind w:left="4320" w:hanging="360"/>
      </w:pPr>
      <w:rPr>
        <w:rFonts w:ascii="Wingdings" w:hAnsi="Wingdings" w:hint="default"/>
      </w:rPr>
    </w:lvl>
    <w:lvl w:ilvl="3" w:tplc="0C0C0001" w:tentative="1">
      <w:start w:val="1"/>
      <w:numFmt w:val="bullet"/>
      <w:lvlText w:val=""/>
      <w:lvlJc w:val="left"/>
      <w:pPr>
        <w:ind w:left="5040" w:hanging="360"/>
      </w:pPr>
      <w:rPr>
        <w:rFonts w:ascii="Symbol" w:hAnsi="Symbol" w:hint="default"/>
      </w:rPr>
    </w:lvl>
    <w:lvl w:ilvl="4" w:tplc="0C0C0003" w:tentative="1">
      <w:start w:val="1"/>
      <w:numFmt w:val="bullet"/>
      <w:lvlText w:val="o"/>
      <w:lvlJc w:val="left"/>
      <w:pPr>
        <w:ind w:left="5760" w:hanging="360"/>
      </w:pPr>
      <w:rPr>
        <w:rFonts w:ascii="Courier New" w:hAnsi="Courier New" w:cs="Courier New" w:hint="default"/>
      </w:rPr>
    </w:lvl>
    <w:lvl w:ilvl="5" w:tplc="0C0C0005" w:tentative="1">
      <w:start w:val="1"/>
      <w:numFmt w:val="bullet"/>
      <w:lvlText w:val=""/>
      <w:lvlJc w:val="left"/>
      <w:pPr>
        <w:ind w:left="6480" w:hanging="360"/>
      </w:pPr>
      <w:rPr>
        <w:rFonts w:ascii="Wingdings" w:hAnsi="Wingdings" w:hint="default"/>
      </w:rPr>
    </w:lvl>
    <w:lvl w:ilvl="6" w:tplc="0C0C0001" w:tentative="1">
      <w:start w:val="1"/>
      <w:numFmt w:val="bullet"/>
      <w:lvlText w:val=""/>
      <w:lvlJc w:val="left"/>
      <w:pPr>
        <w:ind w:left="7200" w:hanging="360"/>
      </w:pPr>
      <w:rPr>
        <w:rFonts w:ascii="Symbol" w:hAnsi="Symbol" w:hint="default"/>
      </w:rPr>
    </w:lvl>
    <w:lvl w:ilvl="7" w:tplc="0C0C0003" w:tentative="1">
      <w:start w:val="1"/>
      <w:numFmt w:val="bullet"/>
      <w:lvlText w:val="o"/>
      <w:lvlJc w:val="left"/>
      <w:pPr>
        <w:ind w:left="7920" w:hanging="360"/>
      </w:pPr>
      <w:rPr>
        <w:rFonts w:ascii="Courier New" w:hAnsi="Courier New" w:cs="Courier New" w:hint="default"/>
      </w:rPr>
    </w:lvl>
    <w:lvl w:ilvl="8" w:tplc="0C0C0005" w:tentative="1">
      <w:start w:val="1"/>
      <w:numFmt w:val="bullet"/>
      <w:lvlText w:val=""/>
      <w:lvlJc w:val="left"/>
      <w:pPr>
        <w:ind w:left="8640" w:hanging="360"/>
      </w:pPr>
      <w:rPr>
        <w:rFonts w:ascii="Wingdings" w:hAnsi="Wingdings" w:hint="default"/>
      </w:rPr>
    </w:lvl>
  </w:abstractNum>
  <w:abstractNum w:abstractNumId="2" w15:restartNumberingAfterBreak="0">
    <w:nsid w:val="1AFE3549"/>
    <w:multiLevelType w:val="hybridMultilevel"/>
    <w:tmpl w:val="EE526BA2"/>
    <w:lvl w:ilvl="0" w:tplc="266A3BAE">
      <w:start w:val="4"/>
      <w:numFmt w:val="decimal"/>
      <w:lvlText w:val="%1."/>
      <w:lvlJc w:val="left"/>
      <w:pPr>
        <w:tabs>
          <w:tab w:val="num" w:pos="900"/>
        </w:tabs>
        <w:ind w:left="900" w:hanging="54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 w15:restartNumberingAfterBreak="0">
    <w:nsid w:val="1EBF31B9"/>
    <w:multiLevelType w:val="hybridMultilevel"/>
    <w:tmpl w:val="7666A508"/>
    <w:lvl w:ilvl="0" w:tplc="A48C3A5E">
      <w:start w:val="1"/>
      <w:numFmt w:val="decimal"/>
      <w:lvlText w:val="%1."/>
      <w:lvlJc w:val="left"/>
      <w:pPr>
        <w:tabs>
          <w:tab w:val="num" w:pos="900"/>
        </w:tabs>
        <w:ind w:left="900" w:hanging="54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 w15:restartNumberingAfterBreak="0">
    <w:nsid w:val="2C125D38"/>
    <w:multiLevelType w:val="multilevel"/>
    <w:tmpl w:val="3C504CE2"/>
    <w:lvl w:ilvl="0">
      <w:start w:val="1"/>
      <w:numFmt w:val="decimal"/>
      <w:pStyle w:val="Sous-titre"/>
      <w:lvlText w:val="%1."/>
      <w:lvlJc w:val="left"/>
      <w:pPr>
        <w:ind w:left="360" w:hanging="360"/>
      </w:pPr>
    </w:lvl>
    <w:lvl w:ilvl="1">
      <w:start w:val="1"/>
      <w:numFmt w:val="decimal"/>
      <w:pStyle w:val="Listeniveau2"/>
      <w:lvlText w:val="%1.%2."/>
      <w:lvlJc w:val="left"/>
      <w:pPr>
        <w:ind w:left="792" w:hanging="432"/>
      </w:pPr>
      <w:rPr>
        <w:b w:val="0"/>
        <w:bCs/>
        <w:strike w:val="0"/>
      </w:rPr>
    </w:lvl>
    <w:lvl w:ilvl="2">
      <w:start w:val="1"/>
      <w:numFmt w:val="decimal"/>
      <w:pStyle w:val="Listeniveau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1B61BC"/>
    <w:multiLevelType w:val="hybridMultilevel"/>
    <w:tmpl w:val="4B7ADE44"/>
    <w:lvl w:ilvl="0" w:tplc="0C0C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6" w15:restartNumberingAfterBreak="0">
    <w:nsid w:val="37CB1ED1"/>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ED39F6"/>
    <w:multiLevelType w:val="hybridMultilevel"/>
    <w:tmpl w:val="F9281780"/>
    <w:lvl w:ilvl="0" w:tplc="0C0C0001">
      <w:start w:val="1"/>
      <w:numFmt w:val="bullet"/>
      <w:lvlText w:val=""/>
      <w:lvlJc w:val="left"/>
      <w:pPr>
        <w:tabs>
          <w:tab w:val="num" w:pos="1080"/>
        </w:tabs>
        <w:ind w:left="1080" w:hanging="360"/>
      </w:pPr>
      <w:rPr>
        <w:rFonts w:ascii="Symbol" w:hAnsi="Symbol"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B861699"/>
    <w:multiLevelType w:val="hybridMultilevel"/>
    <w:tmpl w:val="5A084194"/>
    <w:lvl w:ilvl="0" w:tplc="0C0C0001">
      <w:start w:val="1"/>
      <w:numFmt w:val="bullet"/>
      <w:lvlText w:val=""/>
      <w:lvlJc w:val="left"/>
      <w:pPr>
        <w:ind w:left="1778" w:hanging="360"/>
      </w:pPr>
      <w:rPr>
        <w:rFonts w:ascii="Symbol" w:hAnsi="Symbol" w:hint="default"/>
      </w:rPr>
    </w:lvl>
    <w:lvl w:ilvl="1" w:tplc="0C0C0003" w:tentative="1">
      <w:start w:val="1"/>
      <w:numFmt w:val="bullet"/>
      <w:lvlText w:val="o"/>
      <w:lvlJc w:val="left"/>
      <w:pPr>
        <w:ind w:left="2498" w:hanging="360"/>
      </w:pPr>
      <w:rPr>
        <w:rFonts w:ascii="Courier New" w:hAnsi="Courier New" w:cs="Courier New" w:hint="default"/>
      </w:rPr>
    </w:lvl>
    <w:lvl w:ilvl="2" w:tplc="0C0C0005" w:tentative="1">
      <w:start w:val="1"/>
      <w:numFmt w:val="bullet"/>
      <w:lvlText w:val=""/>
      <w:lvlJc w:val="left"/>
      <w:pPr>
        <w:ind w:left="3218" w:hanging="360"/>
      </w:pPr>
      <w:rPr>
        <w:rFonts w:ascii="Wingdings" w:hAnsi="Wingdings" w:hint="default"/>
      </w:rPr>
    </w:lvl>
    <w:lvl w:ilvl="3" w:tplc="0C0C0001" w:tentative="1">
      <w:start w:val="1"/>
      <w:numFmt w:val="bullet"/>
      <w:lvlText w:val=""/>
      <w:lvlJc w:val="left"/>
      <w:pPr>
        <w:ind w:left="3938" w:hanging="360"/>
      </w:pPr>
      <w:rPr>
        <w:rFonts w:ascii="Symbol" w:hAnsi="Symbol" w:hint="default"/>
      </w:rPr>
    </w:lvl>
    <w:lvl w:ilvl="4" w:tplc="0C0C0003" w:tentative="1">
      <w:start w:val="1"/>
      <w:numFmt w:val="bullet"/>
      <w:lvlText w:val="o"/>
      <w:lvlJc w:val="left"/>
      <w:pPr>
        <w:ind w:left="4658" w:hanging="360"/>
      </w:pPr>
      <w:rPr>
        <w:rFonts w:ascii="Courier New" w:hAnsi="Courier New" w:cs="Courier New" w:hint="default"/>
      </w:rPr>
    </w:lvl>
    <w:lvl w:ilvl="5" w:tplc="0C0C0005" w:tentative="1">
      <w:start w:val="1"/>
      <w:numFmt w:val="bullet"/>
      <w:lvlText w:val=""/>
      <w:lvlJc w:val="left"/>
      <w:pPr>
        <w:ind w:left="5378" w:hanging="360"/>
      </w:pPr>
      <w:rPr>
        <w:rFonts w:ascii="Wingdings" w:hAnsi="Wingdings" w:hint="default"/>
      </w:rPr>
    </w:lvl>
    <w:lvl w:ilvl="6" w:tplc="0C0C0001" w:tentative="1">
      <w:start w:val="1"/>
      <w:numFmt w:val="bullet"/>
      <w:lvlText w:val=""/>
      <w:lvlJc w:val="left"/>
      <w:pPr>
        <w:ind w:left="6098" w:hanging="360"/>
      </w:pPr>
      <w:rPr>
        <w:rFonts w:ascii="Symbol" w:hAnsi="Symbol" w:hint="default"/>
      </w:rPr>
    </w:lvl>
    <w:lvl w:ilvl="7" w:tplc="0C0C0003" w:tentative="1">
      <w:start w:val="1"/>
      <w:numFmt w:val="bullet"/>
      <w:lvlText w:val="o"/>
      <w:lvlJc w:val="left"/>
      <w:pPr>
        <w:ind w:left="6818" w:hanging="360"/>
      </w:pPr>
      <w:rPr>
        <w:rFonts w:ascii="Courier New" w:hAnsi="Courier New" w:cs="Courier New" w:hint="default"/>
      </w:rPr>
    </w:lvl>
    <w:lvl w:ilvl="8" w:tplc="0C0C0005" w:tentative="1">
      <w:start w:val="1"/>
      <w:numFmt w:val="bullet"/>
      <w:lvlText w:val=""/>
      <w:lvlJc w:val="left"/>
      <w:pPr>
        <w:ind w:left="7538" w:hanging="360"/>
      </w:pPr>
      <w:rPr>
        <w:rFonts w:ascii="Wingdings" w:hAnsi="Wingdings" w:hint="default"/>
      </w:rPr>
    </w:lvl>
  </w:abstractNum>
  <w:abstractNum w:abstractNumId="9" w15:restartNumberingAfterBreak="0">
    <w:nsid w:val="50312D89"/>
    <w:multiLevelType w:val="multilevel"/>
    <w:tmpl w:val="950A3B7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E9B1F11"/>
    <w:multiLevelType w:val="hybridMultilevel"/>
    <w:tmpl w:val="DB669334"/>
    <w:lvl w:ilvl="0" w:tplc="5D4462AC">
      <w:start w:val="1"/>
      <w:numFmt w:val="decimal"/>
      <w:lvlText w:val="%1."/>
      <w:lvlJc w:val="left"/>
      <w:pPr>
        <w:tabs>
          <w:tab w:val="num" w:pos="720"/>
        </w:tabs>
        <w:ind w:left="720" w:hanging="360"/>
      </w:pPr>
      <w:rPr>
        <w:rFonts w:ascii="Arial" w:eastAsia="Times New Roman" w:hAnsi="Arial" w:cs="Arial"/>
        <w:b/>
      </w:rPr>
    </w:lvl>
    <w:lvl w:ilvl="1" w:tplc="A59A8036">
      <w:start w:val="1"/>
      <w:numFmt w:val="lowerLetter"/>
      <w:lvlText w:val="%2)"/>
      <w:lvlJc w:val="left"/>
      <w:pPr>
        <w:tabs>
          <w:tab w:val="num" w:pos="1440"/>
        </w:tabs>
        <w:ind w:left="1440" w:hanging="360"/>
      </w:pPr>
      <w:rPr>
        <w:rFonts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1" w15:restartNumberingAfterBreak="0">
    <w:nsid w:val="62133671"/>
    <w:multiLevelType w:val="hybridMultilevel"/>
    <w:tmpl w:val="B97ECD96"/>
    <w:lvl w:ilvl="0" w:tplc="0C0C0001">
      <w:start w:val="1"/>
      <w:numFmt w:val="bullet"/>
      <w:lvlText w:val=""/>
      <w:lvlJc w:val="left"/>
      <w:pPr>
        <w:ind w:left="3060" w:hanging="360"/>
      </w:pPr>
      <w:rPr>
        <w:rFonts w:ascii="Symbol" w:hAnsi="Symbol" w:hint="default"/>
      </w:rPr>
    </w:lvl>
    <w:lvl w:ilvl="1" w:tplc="0C0C0003" w:tentative="1">
      <w:start w:val="1"/>
      <w:numFmt w:val="bullet"/>
      <w:lvlText w:val="o"/>
      <w:lvlJc w:val="left"/>
      <w:pPr>
        <w:ind w:left="3780" w:hanging="360"/>
      </w:pPr>
      <w:rPr>
        <w:rFonts w:ascii="Courier New" w:hAnsi="Courier New" w:cs="Courier New" w:hint="default"/>
      </w:rPr>
    </w:lvl>
    <w:lvl w:ilvl="2" w:tplc="0C0C0005" w:tentative="1">
      <w:start w:val="1"/>
      <w:numFmt w:val="bullet"/>
      <w:lvlText w:val=""/>
      <w:lvlJc w:val="left"/>
      <w:pPr>
        <w:ind w:left="4500" w:hanging="360"/>
      </w:pPr>
      <w:rPr>
        <w:rFonts w:ascii="Wingdings" w:hAnsi="Wingdings" w:hint="default"/>
      </w:rPr>
    </w:lvl>
    <w:lvl w:ilvl="3" w:tplc="0C0C0001" w:tentative="1">
      <w:start w:val="1"/>
      <w:numFmt w:val="bullet"/>
      <w:lvlText w:val=""/>
      <w:lvlJc w:val="left"/>
      <w:pPr>
        <w:ind w:left="5220" w:hanging="360"/>
      </w:pPr>
      <w:rPr>
        <w:rFonts w:ascii="Symbol" w:hAnsi="Symbol" w:hint="default"/>
      </w:rPr>
    </w:lvl>
    <w:lvl w:ilvl="4" w:tplc="0C0C0003" w:tentative="1">
      <w:start w:val="1"/>
      <w:numFmt w:val="bullet"/>
      <w:lvlText w:val="o"/>
      <w:lvlJc w:val="left"/>
      <w:pPr>
        <w:ind w:left="5940" w:hanging="360"/>
      </w:pPr>
      <w:rPr>
        <w:rFonts w:ascii="Courier New" w:hAnsi="Courier New" w:cs="Courier New" w:hint="default"/>
      </w:rPr>
    </w:lvl>
    <w:lvl w:ilvl="5" w:tplc="0C0C0005" w:tentative="1">
      <w:start w:val="1"/>
      <w:numFmt w:val="bullet"/>
      <w:lvlText w:val=""/>
      <w:lvlJc w:val="left"/>
      <w:pPr>
        <w:ind w:left="6660" w:hanging="360"/>
      </w:pPr>
      <w:rPr>
        <w:rFonts w:ascii="Wingdings" w:hAnsi="Wingdings" w:hint="default"/>
      </w:rPr>
    </w:lvl>
    <w:lvl w:ilvl="6" w:tplc="0C0C0001" w:tentative="1">
      <w:start w:val="1"/>
      <w:numFmt w:val="bullet"/>
      <w:lvlText w:val=""/>
      <w:lvlJc w:val="left"/>
      <w:pPr>
        <w:ind w:left="7380" w:hanging="360"/>
      </w:pPr>
      <w:rPr>
        <w:rFonts w:ascii="Symbol" w:hAnsi="Symbol" w:hint="default"/>
      </w:rPr>
    </w:lvl>
    <w:lvl w:ilvl="7" w:tplc="0C0C0003" w:tentative="1">
      <w:start w:val="1"/>
      <w:numFmt w:val="bullet"/>
      <w:lvlText w:val="o"/>
      <w:lvlJc w:val="left"/>
      <w:pPr>
        <w:ind w:left="8100" w:hanging="360"/>
      </w:pPr>
      <w:rPr>
        <w:rFonts w:ascii="Courier New" w:hAnsi="Courier New" w:cs="Courier New" w:hint="default"/>
      </w:rPr>
    </w:lvl>
    <w:lvl w:ilvl="8" w:tplc="0C0C0005" w:tentative="1">
      <w:start w:val="1"/>
      <w:numFmt w:val="bullet"/>
      <w:lvlText w:val=""/>
      <w:lvlJc w:val="left"/>
      <w:pPr>
        <w:ind w:left="8820" w:hanging="360"/>
      </w:pPr>
      <w:rPr>
        <w:rFonts w:ascii="Wingdings" w:hAnsi="Wingdings" w:hint="default"/>
      </w:rPr>
    </w:lvl>
  </w:abstractNum>
  <w:abstractNum w:abstractNumId="12" w15:restartNumberingAfterBreak="0">
    <w:nsid w:val="646C4D95"/>
    <w:multiLevelType w:val="hybridMultilevel"/>
    <w:tmpl w:val="1D5CAB14"/>
    <w:lvl w:ilvl="0" w:tplc="0C0C0001">
      <w:start w:val="1"/>
      <w:numFmt w:val="bullet"/>
      <w:lvlText w:val=""/>
      <w:lvlJc w:val="left"/>
      <w:pPr>
        <w:tabs>
          <w:tab w:val="num" w:pos="1416"/>
        </w:tabs>
        <w:ind w:left="1416" w:hanging="360"/>
      </w:pPr>
      <w:rPr>
        <w:rFonts w:ascii="Symbol" w:hAnsi="Symbol" w:hint="default"/>
      </w:rPr>
    </w:lvl>
    <w:lvl w:ilvl="1" w:tplc="0C0C0003" w:tentative="1">
      <w:start w:val="1"/>
      <w:numFmt w:val="bullet"/>
      <w:lvlText w:val="o"/>
      <w:lvlJc w:val="left"/>
      <w:pPr>
        <w:tabs>
          <w:tab w:val="num" w:pos="2136"/>
        </w:tabs>
        <w:ind w:left="2136" w:hanging="360"/>
      </w:pPr>
      <w:rPr>
        <w:rFonts w:ascii="Courier New" w:hAnsi="Courier New" w:cs="Courier New" w:hint="default"/>
      </w:rPr>
    </w:lvl>
    <w:lvl w:ilvl="2" w:tplc="0C0C0005" w:tentative="1">
      <w:start w:val="1"/>
      <w:numFmt w:val="bullet"/>
      <w:lvlText w:val=""/>
      <w:lvlJc w:val="left"/>
      <w:pPr>
        <w:tabs>
          <w:tab w:val="num" w:pos="2856"/>
        </w:tabs>
        <w:ind w:left="2856" w:hanging="360"/>
      </w:pPr>
      <w:rPr>
        <w:rFonts w:ascii="Wingdings" w:hAnsi="Wingdings" w:hint="default"/>
      </w:rPr>
    </w:lvl>
    <w:lvl w:ilvl="3" w:tplc="0C0C0001" w:tentative="1">
      <w:start w:val="1"/>
      <w:numFmt w:val="bullet"/>
      <w:lvlText w:val=""/>
      <w:lvlJc w:val="left"/>
      <w:pPr>
        <w:tabs>
          <w:tab w:val="num" w:pos="3576"/>
        </w:tabs>
        <w:ind w:left="3576" w:hanging="360"/>
      </w:pPr>
      <w:rPr>
        <w:rFonts w:ascii="Symbol" w:hAnsi="Symbol" w:hint="default"/>
      </w:rPr>
    </w:lvl>
    <w:lvl w:ilvl="4" w:tplc="0C0C0003" w:tentative="1">
      <w:start w:val="1"/>
      <w:numFmt w:val="bullet"/>
      <w:lvlText w:val="o"/>
      <w:lvlJc w:val="left"/>
      <w:pPr>
        <w:tabs>
          <w:tab w:val="num" w:pos="4296"/>
        </w:tabs>
        <w:ind w:left="4296" w:hanging="360"/>
      </w:pPr>
      <w:rPr>
        <w:rFonts w:ascii="Courier New" w:hAnsi="Courier New" w:cs="Courier New" w:hint="default"/>
      </w:rPr>
    </w:lvl>
    <w:lvl w:ilvl="5" w:tplc="0C0C0005" w:tentative="1">
      <w:start w:val="1"/>
      <w:numFmt w:val="bullet"/>
      <w:lvlText w:val=""/>
      <w:lvlJc w:val="left"/>
      <w:pPr>
        <w:tabs>
          <w:tab w:val="num" w:pos="5016"/>
        </w:tabs>
        <w:ind w:left="5016" w:hanging="360"/>
      </w:pPr>
      <w:rPr>
        <w:rFonts w:ascii="Wingdings" w:hAnsi="Wingdings" w:hint="default"/>
      </w:rPr>
    </w:lvl>
    <w:lvl w:ilvl="6" w:tplc="0C0C0001" w:tentative="1">
      <w:start w:val="1"/>
      <w:numFmt w:val="bullet"/>
      <w:lvlText w:val=""/>
      <w:lvlJc w:val="left"/>
      <w:pPr>
        <w:tabs>
          <w:tab w:val="num" w:pos="5736"/>
        </w:tabs>
        <w:ind w:left="5736" w:hanging="360"/>
      </w:pPr>
      <w:rPr>
        <w:rFonts w:ascii="Symbol" w:hAnsi="Symbol" w:hint="default"/>
      </w:rPr>
    </w:lvl>
    <w:lvl w:ilvl="7" w:tplc="0C0C0003" w:tentative="1">
      <w:start w:val="1"/>
      <w:numFmt w:val="bullet"/>
      <w:lvlText w:val="o"/>
      <w:lvlJc w:val="left"/>
      <w:pPr>
        <w:tabs>
          <w:tab w:val="num" w:pos="6456"/>
        </w:tabs>
        <w:ind w:left="6456" w:hanging="360"/>
      </w:pPr>
      <w:rPr>
        <w:rFonts w:ascii="Courier New" w:hAnsi="Courier New" w:cs="Courier New" w:hint="default"/>
      </w:rPr>
    </w:lvl>
    <w:lvl w:ilvl="8" w:tplc="0C0C0005" w:tentative="1">
      <w:start w:val="1"/>
      <w:numFmt w:val="bullet"/>
      <w:lvlText w:val=""/>
      <w:lvlJc w:val="left"/>
      <w:pPr>
        <w:tabs>
          <w:tab w:val="num" w:pos="7176"/>
        </w:tabs>
        <w:ind w:left="7176" w:hanging="360"/>
      </w:pPr>
      <w:rPr>
        <w:rFonts w:ascii="Wingdings" w:hAnsi="Wingdings" w:hint="default"/>
      </w:rPr>
    </w:lvl>
  </w:abstractNum>
  <w:abstractNum w:abstractNumId="13" w15:restartNumberingAfterBreak="0">
    <w:nsid w:val="6EE058F9"/>
    <w:multiLevelType w:val="hybridMultilevel"/>
    <w:tmpl w:val="DE6A37FC"/>
    <w:lvl w:ilvl="0" w:tplc="0C0C0001">
      <w:start w:val="1"/>
      <w:numFmt w:val="bullet"/>
      <w:lvlText w:val=""/>
      <w:lvlJc w:val="left"/>
      <w:pPr>
        <w:tabs>
          <w:tab w:val="num" w:pos="1080"/>
        </w:tabs>
        <w:ind w:left="1080" w:hanging="360"/>
      </w:pPr>
      <w:rPr>
        <w:rFonts w:ascii="Symbol" w:hAnsi="Symbol" w:hint="default"/>
      </w:rPr>
    </w:lvl>
    <w:lvl w:ilvl="1" w:tplc="25209E32">
      <w:start w:val="3"/>
      <w:numFmt w:val="bullet"/>
      <w:lvlText w:val="-"/>
      <w:lvlJc w:val="left"/>
      <w:pPr>
        <w:tabs>
          <w:tab w:val="num" w:pos="1800"/>
        </w:tabs>
        <w:ind w:left="1800" w:hanging="360"/>
      </w:pPr>
      <w:rPr>
        <w:rFonts w:ascii="Arial" w:eastAsia="Times New Roman" w:hAnsi="Arial" w:cs="Arial"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63C2B33"/>
    <w:multiLevelType w:val="hybridMultilevel"/>
    <w:tmpl w:val="50D221DA"/>
    <w:lvl w:ilvl="0" w:tplc="0C0C0001">
      <w:start w:val="1"/>
      <w:numFmt w:val="bullet"/>
      <w:lvlText w:val=""/>
      <w:lvlJc w:val="left"/>
      <w:pPr>
        <w:tabs>
          <w:tab w:val="num" w:pos="888"/>
        </w:tabs>
        <w:ind w:left="888" w:hanging="360"/>
      </w:pPr>
      <w:rPr>
        <w:rFonts w:ascii="Symbol" w:hAnsi="Symbol" w:hint="default"/>
      </w:rPr>
    </w:lvl>
    <w:lvl w:ilvl="1" w:tplc="0C0C0003" w:tentative="1">
      <w:start w:val="1"/>
      <w:numFmt w:val="bullet"/>
      <w:lvlText w:val="o"/>
      <w:lvlJc w:val="left"/>
      <w:pPr>
        <w:tabs>
          <w:tab w:val="num" w:pos="1608"/>
        </w:tabs>
        <w:ind w:left="1608" w:hanging="360"/>
      </w:pPr>
      <w:rPr>
        <w:rFonts w:ascii="Courier New" w:hAnsi="Courier New" w:cs="Courier New" w:hint="default"/>
      </w:rPr>
    </w:lvl>
    <w:lvl w:ilvl="2" w:tplc="0C0C0005" w:tentative="1">
      <w:start w:val="1"/>
      <w:numFmt w:val="bullet"/>
      <w:lvlText w:val=""/>
      <w:lvlJc w:val="left"/>
      <w:pPr>
        <w:tabs>
          <w:tab w:val="num" w:pos="2328"/>
        </w:tabs>
        <w:ind w:left="2328" w:hanging="360"/>
      </w:pPr>
      <w:rPr>
        <w:rFonts w:ascii="Wingdings" w:hAnsi="Wingdings" w:hint="default"/>
      </w:rPr>
    </w:lvl>
    <w:lvl w:ilvl="3" w:tplc="0C0C0001" w:tentative="1">
      <w:start w:val="1"/>
      <w:numFmt w:val="bullet"/>
      <w:lvlText w:val=""/>
      <w:lvlJc w:val="left"/>
      <w:pPr>
        <w:tabs>
          <w:tab w:val="num" w:pos="3048"/>
        </w:tabs>
        <w:ind w:left="3048" w:hanging="360"/>
      </w:pPr>
      <w:rPr>
        <w:rFonts w:ascii="Symbol" w:hAnsi="Symbol" w:hint="default"/>
      </w:rPr>
    </w:lvl>
    <w:lvl w:ilvl="4" w:tplc="0C0C0003" w:tentative="1">
      <w:start w:val="1"/>
      <w:numFmt w:val="bullet"/>
      <w:lvlText w:val="o"/>
      <w:lvlJc w:val="left"/>
      <w:pPr>
        <w:tabs>
          <w:tab w:val="num" w:pos="3768"/>
        </w:tabs>
        <w:ind w:left="3768" w:hanging="360"/>
      </w:pPr>
      <w:rPr>
        <w:rFonts w:ascii="Courier New" w:hAnsi="Courier New" w:cs="Courier New" w:hint="default"/>
      </w:rPr>
    </w:lvl>
    <w:lvl w:ilvl="5" w:tplc="0C0C0005" w:tentative="1">
      <w:start w:val="1"/>
      <w:numFmt w:val="bullet"/>
      <w:lvlText w:val=""/>
      <w:lvlJc w:val="left"/>
      <w:pPr>
        <w:tabs>
          <w:tab w:val="num" w:pos="4488"/>
        </w:tabs>
        <w:ind w:left="4488" w:hanging="360"/>
      </w:pPr>
      <w:rPr>
        <w:rFonts w:ascii="Wingdings" w:hAnsi="Wingdings" w:hint="default"/>
      </w:rPr>
    </w:lvl>
    <w:lvl w:ilvl="6" w:tplc="0C0C0001" w:tentative="1">
      <w:start w:val="1"/>
      <w:numFmt w:val="bullet"/>
      <w:lvlText w:val=""/>
      <w:lvlJc w:val="left"/>
      <w:pPr>
        <w:tabs>
          <w:tab w:val="num" w:pos="5208"/>
        </w:tabs>
        <w:ind w:left="5208" w:hanging="360"/>
      </w:pPr>
      <w:rPr>
        <w:rFonts w:ascii="Symbol" w:hAnsi="Symbol" w:hint="default"/>
      </w:rPr>
    </w:lvl>
    <w:lvl w:ilvl="7" w:tplc="0C0C0003" w:tentative="1">
      <w:start w:val="1"/>
      <w:numFmt w:val="bullet"/>
      <w:lvlText w:val="o"/>
      <w:lvlJc w:val="left"/>
      <w:pPr>
        <w:tabs>
          <w:tab w:val="num" w:pos="5928"/>
        </w:tabs>
        <w:ind w:left="5928" w:hanging="360"/>
      </w:pPr>
      <w:rPr>
        <w:rFonts w:ascii="Courier New" w:hAnsi="Courier New" w:cs="Courier New" w:hint="default"/>
      </w:rPr>
    </w:lvl>
    <w:lvl w:ilvl="8" w:tplc="0C0C0005" w:tentative="1">
      <w:start w:val="1"/>
      <w:numFmt w:val="bullet"/>
      <w:lvlText w:val=""/>
      <w:lvlJc w:val="left"/>
      <w:pPr>
        <w:tabs>
          <w:tab w:val="num" w:pos="6648"/>
        </w:tabs>
        <w:ind w:left="6648" w:hanging="360"/>
      </w:pPr>
      <w:rPr>
        <w:rFonts w:ascii="Wingdings" w:hAnsi="Wingdings" w:hint="default"/>
      </w:rPr>
    </w:lvl>
  </w:abstractNum>
  <w:abstractNum w:abstractNumId="15" w15:restartNumberingAfterBreak="0">
    <w:nsid w:val="7D9764D2"/>
    <w:multiLevelType w:val="hybridMultilevel"/>
    <w:tmpl w:val="3238164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16cid:durableId="1378048702">
    <w:abstractNumId w:val="10"/>
  </w:num>
  <w:num w:numId="2" w16cid:durableId="329791902">
    <w:abstractNumId w:val="7"/>
  </w:num>
  <w:num w:numId="3" w16cid:durableId="789787069">
    <w:abstractNumId w:val="12"/>
  </w:num>
  <w:num w:numId="4" w16cid:durableId="1835532934">
    <w:abstractNumId w:val="14"/>
  </w:num>
  <w:num w:numId="5" w16cid:durableId="1172600351">
    <w:abstractNumId w:val="0"/>
  </w:num>
  <w:num w:numId="6" w16cid:durableId="825164352">
    <w:abstractNumId w:val="13"/>
  </w:num>
  <w:num w:numId="7" w16cid:durableId="1448698129">
    <w:abstractNumId w:val="1"/>
  </w:num>
  <w:num w:numId="8" w16cid:durableId="101610805">
    <w:abstractNumId w:val="15"/>
  </w:num>
  <w:num w:numId="9" w16cid:durableId="834537955">
    <w:abstractNumId w:val="3"/>
  </w:num>
  <w:num w:numId="10" w16cid:durableId="680133036">
    <w:abstractNumId w:val="2"/>
  </w:num>
  <w:num w:numId="11" w16cid:durableId="637877957">
    <w:abstractNumId w:val="8"/>
  </w:num>
  <w:num w:numId="12" w16cid:durableId="1730494507">
    <w:abstractNumId w:val="5"/>
  </w:num>
  <w:num w:numId="13" w16cid:durableId="1056851888">
    <w:abstractNumId w:val="6"/>
  </w:num>
  <w:num w:numId="14" w16cid:durableId="640041043">
    <w:abstractNumId w:val="11"/>
  </w:num>
  <w:num w:numId="15" w16cid:durableId="342905874">
    <w:abstractNumId w:val="4"/>
  </w:num>
  <w:num w:numId="16" w16cid:durableId="11201491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A3E"/>
    <w:rsid w:val="000009A1"/>
    <w:rsid w:val="00016465"/>
    <w:rsid w:val="00021B90"/>
    <w:rsid w:val="00026CF5"/>
    <w:rsid w:val="0003143E"/>
    <w:rsid w:val="00036FB4"/>
    <w:rsid w:val="000403FE"/>
    <w:rsid w:val="000505B5"/>
    <w:rsid w:val="00051BAE"/>
    <w:rsid w:val="00053A3A"/>
    <w:rsid w:val="00053D02"/>
    <w:rsid w:val="00061016"/>
    <w:rsid w:val="000622D5"/>
    <w:rsid w:val="000630AF"/>
    <w:rsid w:val="000701E4"/>
    <w:rsid w:val="0007530E"/>
    <w:rsid w:val="00091036"/>
    <w:rsid w:val="00092E2B"/>
    <w:rsid w:val="0009622D"/>
    <w:rsid w:val="000A1910"/>
    <w:rsid w:val="000A4006"/>
    <w:rsid w:val="000A6AC0"/>
    <w:rsid w:val="000B3ED1"/>
    <w:rsid w:val="000B4602"/>
    <w:rsid w:val="000B6BA1"/>
    <w:rsid w:val="000C0862"/>
    <w:rsid w:val="000C4C1C"/>
    <w:rsid w:val="000C7BCF"/>
    <w:rsid w:val="000C7D70"/>
    <w:rsid w:val="000D350B"/>
    <w:rsid w:val="000D5744"/>
    <w:rsid w:val="000D5982"/>
    <w:rsid w:val="000D7578"/>
    <w:rsid w:val="000E355E"/>
    <w:rsid w:val="00101F96"/>
    <w:rsid w:val="00102014"/>
    <w:rsid w:val="00104E0C"/>
    <w:rsid w:val="00105242"/>
    <w:rsid w:val="00105C34"/>
    <w:rsid w:val="00122C90"/>
    <w:rsid w:val="0012619C"/>
    <w:rsid w:val="00140ABF"/>
    <w:rsid w:val="0014326B"/>
    <w:rsid w:val="001452D4"/>
    <w:rsid w:val="001462BB"/>
    <w:rsid w:val="00146697"/>
    <w:rsid w:val="00155029"/>
    <w:rsid w:val="001644DC"/>
    <w:rsid w:val="00166C32"/>
    <w:rsid w:val="00170501"/>
    <w:rsid w:val="001759B6"/>
    <w:rsid w:val="00177FBF"/>
    <w:rsid w:val="0018327F"/>
    <w:rsid w:val="00183F4C"/>
    <w:rsid w:val="001961F5"/>
    <w:rsid w:val="001A37BD"/>
    <w:rsid w:val="001A4663"/>
    <w:rsid w:val="001B45B0"/>
    <w:rsid w:val="001B6DBD"/>
    <w:rsid w:val="001B777B"/>
    <w:rsid w:val="001C3263"/>
    <w:rsid w:val="001C71DE"/>
    <w:rsid w:val="001D067B"/>
    <w:rsid w:val="001D06A3"/>
    <w:rsid w:val="001D407B"/>
    <w:rsid w:val="001D57CD"/>
    <w:rsid w:val="001E75FD"/>
    <w:rsid w:val="00201ECE"/>
    <w:rsid w:val="00202466"/>
    <w:rsid w:val="00215221"/>
    <w:rsid w:val="002164AC"/>
    <w:rsid w:val="002179F7"/>
    <w:rsid w:val="00225E7F"/>
    <w:rsid w:val="00226825"/>
    <w:rsid w:val="0023296F"/>
    <w:rsid w:val="002472EB"/>
    <w:rsid w:val="00264859"/>
    <w:rsid w:val="00275B88"/>
    <w:rsid w:val="00280861"/>
    <w:rsid w:val="0028342B"/>
    <w:rsid w:val="00290E2A"/>
    <w:rsid w:val="002A03FA"/>
    <w:rsid w:val="002A3BA3"/>
    <w:rsid w:val="002A3E6F"/>
    <w:rsid w:val="002A3E73"/>
    <w:rsid w:val="002A52C3"/>
    <w:rsid w:val="002A6533"/>
    <w:rsid w:val="002B49D9"/>
    <w:rsid w:val="002D03B3"/>
    <w:rsid w:val="002D08A1"/>
    <w:rsid w:val="002D7F3B"/>
    <w:rsid w:val="002E321F"/>
    <w:rsid w:val="002E427A"/>
    <w:rsid w:val="002F0459"/>
    <w:rsid w:val="002F253C"/>
    <w:rsid w:val="00304BE2"/>
    <w:rsid w:val="003144E6"/>
    <w:rsid w:val="003146DE"/>
    <w:rsid w:val="00322EC2"/>
    <w:rsid w:val="0033020A"/>
    <w:rsid w:val="00332178"/>
    <w:rsid w:val="00340365"/>
    <w:rsid w:val="0034437E"/>
    <w:rsid w:val="003445E9"/>
    <w:rsid w:val="0035307E"/>
    <w:rsid w:val="00362467"/>
    <w:rsid w:val="00366266"/>
    <w:rsid w:val="00375AF6"/>
    <w:rsid w:val="003760FA"/>
    <w:rsid w:val="0039474F"/>
    <w:rsid w:val="003A4D5F"/>
    <w:rsid w:val="003A7DF6"/>
    <w:rsid w:val="003A7F3A"/>
    <w:rsid w:val="003B2DFD"/>
    <w:rsid w:val="003B3BEE"/>
    <w:rsid w:val="003B40AF"/>
    <w:rsid w:val="003B6087"/>
    <w:rsid w:val="003C591C"/>
    <w:rsid w:val="003D1A76"/>
    <w:rsid w:val="003D1F27"/>
    <w:rsid w:val="003D5E42"/>
    <w:rsid w:val="003D6D2C"/>
    <w:rsid w:val="003E3DA1"/>
    <w:rsid w:val="003E4559"/>
    <w:rsid w:val="003E7CF8"/>
    <w:rsid w:val="00400999"/>
    <w:rsid w:val="0041483C"/>
    <w:rsid w:val="004159EA"/>
    <w:rsid w:val="00423503"/>
    <w:rsid w:val="004308E7"/>
    <w:rsid w:val="0043245D"/>
    <w:rsid w:val="00432528"/>
    <w:rsid w:val="004325DA"/>
    <w:rsid w:val="00433F56"/>
    <w:rsid w:val="004359FB"/>
    <w:rsid w:val="004369CC"/>
    <w:rsid w:val="004377E8"/>
    <w:rsid w:val="00437ABC"/>
    <w:rsid w:val="00437B90"/>
    <w:rsid w:val="004403E5"/>
    <w:rsid w:val="0044688A"/>
    <w:rsid w:val="0045319A"/>
    <w:rsid w:val="00453B8B"/>
    <w:rsid w:val="00453D9D"/>
    <w:rsid w:val="004540B6"/>
    <w:rsid w:val="00454764"/>
    <w:rsid w:val="00462026"/>
    <w:rsid w:val="00462718"/>
    <w:rsid w:val="00463D59"/>
    <w:rsid w:val="004730B2"/>
    <w:rsid w:val="00473374"/>
    <w:rsid w:val="00480FAE"/>
    <w:rsid w:val="0048502D"/>
    <w:rsid w:val="004854FA"/>
    <w:rsid w:val="00486280"/>
    <w:rsid w:val="004901D0"/>
    <w:rsid w:val="0049025D"/>
    <w:rsid w:val="004A27A4"/>
    <w:rsid w:val="004A33AD"/>
    <w:rsid w:val="004B2C27"/>
    <w:rsid w:val="004C3863"/>
    <w:rsid w:val="004D2AC1"/>
    <w:rsid w:val="004E206E"/>
    <w:rsid w:val="004E2A7B"/>
    <w:rsid w:val="004F00A2"/>
    <w:rsid w:val="004F507B"/>
    <w:rsid w:val="0051789F"/>
    <w:rsid w:val="00524549"/>
    <w:rsid w:val="00525D87"/>
    <w:rsid w:val="00526A24"/>
    <w:rsid w:val="00540B51"/>
    <w:rsid w:val="00550229"/>
    <w:rsid w:val="0055028A"/>
    <w:rsid w:val="00556DFF"/>
    <w:rsid w:val="005742BD"/>
    <w:rsid w:val="00580B8B"/>
    <w:rsid w:val="0058289C"/>
    <w:rsid w:val="005A7A0E"/>
    <w:rsid w:val="005C2F88"/>
    <w:rsid w:val="005C3C84"/>
    <w:rsid w:val="005C404D"/>
    <w:rsid w:val="005D549C"/>
    <w:rsid w:val="005E2C4D"/>
    <w:rsid w:val="005E4A05"/>
    <w:rsid w:val="005E778A"/>
    <w:rsid w:val="005F3CA7"/>
    <w:rsid w:val="005F448E"/>
    <w:rsid w:val="006006C3"/>
    <w:rsid w:val="00607DCE"/>
    <w:rsid w:val="00612887"/>
    <w:rsid w:val="006149D2"/>
    <w:rsid w:val="0061668C"/>
    <w:rsid w:val="00627B8F"/>
    <w:rsid w:val="00634F3C"/>
    <w:rsid w:val="0063533E"/>
    <w:rsid w:val="0064020B"/>
    <w:rsid w:val="00640220"/>
    <w:rsid w:val="00640EA1"/>
    <w:rsid w:val="00647651"/>
    <w:rsid w:val="00650C36"/>
    <w:rsid w:val="00650E7F"/>
    <w:rsid w:val="006530EE"/>
    <w:rsid w:val="006562C2"/>
    <w:rsid w:val="00657214"/>
    <w:rsid w:val="00666957"/>
    <w:rsid w:val="00683219"/>
    <w:rsid w:val="00683F1B"/>
    <w:rsid w:val="0068692E"/>
    <w:rsid w:val="0069336B"/>
    <w:rsid w:val="00693748"/>
    <w:rsid w:val="00695EF7"/>
    <w:rsid w:val="00696FFB"/>
    <w:rsid w:val="0069790C"/>
    <w:rsid w:val="006A2463"/>
    <w:rsid w:val="006A776B"/>
    <w:rsid w:val="006A7781"/>
    <w:rsid w:val="006C47CF"/>
    <w:rsid w:val="006C68A0"/>
    <w:rsid w:val="006D06A8"/>
    <w:rsid w:val="006E038F"/>
    <w:rsid w:val="006E15CC"/>
    <w:rsid w:val="006F125A"/>
    <w:rsid w:val="00701477"/>
    <w:rsid w:val="007103FF"/>
    <w:rsid w:val="007120EF"/>
    <w:rsid w:val="007215CC"/>
    <w:rsid w:val="00721C74"/>
    <w:rsid w:val="00733861"/>
    <w:rsid w:val="00740B89"/>
    <w:rsid w:val="007553E3"/>
    <w:rsid w:val="00767217"/>
    <w:rsid w:val="00772490"/>
    <w:rsid w:val="0077362E"/>
    <w:rsid w:val="00785129"/>
    <w:rsid w:val="007966DA"/>
    <w:rsid w:val="007A0BE7"/>
    <w:rsid w:val="007A4363"/>
    <w:rsid w:val="007A677F"/>
    <w:rsid w:val="007B23D4"/>
    <w:rsid w:val="007B3C4E"/>
    <w:rsid w:val="007B4C63"/>
    <w:rsid w:val="007B6D7A"/>
    <w:rsid w:val="007D6393"/>
    <w:rsid w:val="007D7A9A"/>
    <w:rsid w:val="007E2B30"/>
    <w:rsid w:val="007E4452"/>
    <w:rsid w:val="007E677A"/>
    <w:rsid w:val="007F20C6"/>
    <w:rsid w:val="00807D8F"/>
    <w:rsid w:val="00811D6D"/>
    <w:rsid w:val="00814E33"/>
    <w:rsid w:val="00815E2F"/>
    <w:rsid w:val="00835EDF"/>
    <w:rsid w:val="00835FD4"/>
    <w:rsid w:val="00845B93"/>
    <w:rsid w:val="0084617B"/>
    <w:rsid w:val="00847CDA"/>
    <w:rsid w:val="00852DF4"/>
    <w:rsid w:val="008545C5"/>
    <w:rsid w:val="00857B31"/>
    <w:rsid w:val="00862FCE"/>
    <w:rsid w:val="00865797"/>
    <w:rsid w:val="00872715"/>
    <w:rsid w:val="00875C19"/>
    <w:rsid w:val="00876DCB"/>
    <w:rsid w:val="008777AD"/>
    <w:rsid w:val="008819B4"/>
    <w:rsid w:val="008822BA"/>
    <w:rsid w:val="008910B7"/>
    <w:rsid w:val="008961E6"/>
    <w:rsid w:val="008A2575"/>
    <w:rsid w:val="008B6B96"/>
    <w:rsid w:val="008C0ED1"/>
    <w:rsid w:val="008C1F1E"/>
    <w:rsid w:val="008C5F49"/>
    <w:rsid w:val="008E39D9"/>
    <w:rsid w:val="008E41E2"/>
    <w:rsid w:val="008F3E49"/>
    <w:rsid w:val="008F5314"/>
    <w:rsid w:val="00901179"/>
    <w:rsid w:val="00901782"/>
    <w:rsid w:val="00903F82"/>
    <w:rsid w:val="009109F7"/>
    <w:rsid w:val="009127E0"/>
    <w:rsid w:val="00913737"/>
    <w:rsid w:val="00916BC1"/>
    <w:rsid w:val="009215BA"/>
    <w:rsid w:val="009248D2"/>
    <w:rsid w:val="009311E8"/>
    <w:rsid w:val="00935F5F"/>
    <w:rsid w:val="00945EA6"/>
    <w:rsid w:val="00950804"/>
    <w:rsid w:val="0095380A"/>
    <w:rsid w:val="00954CF8"/>
    <w:rsid w:val="00957023"/>
    <w:rsid w:val="0096732A"/>
    <w:rsid w:val="00976875"/>
    <w:rsid w:val="00983603"/>
    <w:rsid w:val="00984C6A"/>
    <w:rsid w:val="00986A05"/>
    <w:rsid w:val="00987EF7"/>
    <w:rsid w:val="00990523"/>
    <w:rsid w:val="0099265C"/>
    <w:rsid w:val="009A2F4A"/>
    <w:rsid w:val="009A3B40"/>
    <w:rsid w:val="009B5B61"/>
    <w:rsid w:val="009B7080"/>
    <w:rsid w:val="009C1FD1"/>
    <w:rsid w:val="009C4089"/>
    <w:rsid w:val="009C5A91"/>
    <w:rsid w:val="009C660B"/>
    <w:rsid w:val="009C678A"/>
    <w:rsid w:val="009E7A64"/>
    <w:rsid w:val="009F08F0"/>
    <w:rsid w:val="009F715F"/>
    <w:rsid w:val="00A00638"/>
    <w:rsid w:val="00A1777A"/>
    <w:rsid w:val="00A21F25"/>
    <w:rsid w:val="00A31847"/>
    <w:rsid w:val="00A3294F"/>
    <w:rsid w:val="00A35546"/>
    <w:rsid w:val="00A37730"/>
    <w:rsid w:val="00A4408C"/>
    <w:rsid w:val="00A506C5"/>
    <w:rsid w:val="00A514E9"/>
    <w:rsid w:val="00A55849"/>
    <w:rsid w:val="00A60897"/>
    <w:rsid w:val="00A60898"/>
    <w:rsid w:val="00A60C2B"/>
    <w:rsid w:val="00A60E3F"/>
    <w:rsid w:val="00A66CB7"/>
    <w:rsid w:val="00A70801"/>
    <w:rsid w:val="00A716EA"/>
    <w:rsid w:val="00A71B05"/>
    <w:rsid w:val="00A7264D"/>
    <w:rsid w:val="00A734E9"/>
    <w:rsid w:val="00A76B0D"/>
    <w:rsid w:val="00A80A7F"/>
    <w:rsid w:val="00A8522D"/>
    <w:rsid w:val="00A8605D"/>
    <w:rsid w:val="00A8636B"/>
    <w:rsid w:val="00A872E0"/>
    <w:rsid w:val="00A90973"/>
    <w:rsid w:val="00A91E18"/>
    <w:rsid w:val="00AA2DE0"/>
    <w:rsid w:val="00AA7798"/>
    <w:rsid w:val="00AB390B"/>
    <w:rsid w:val="00AB73BF"/>
    <w:rsid w:val="00AC055B"/>
    <w:rsid w:val="00AC4633"/>
    <w:rsid w:val="00AC5E16"/>
    <w:rsid w:val="00AD3374"/>
    <w:rsid w:val="00AD5CDC"/>
    <w:rsid w:val="00AD6F08"/>
    <w:rsid w:val="00AD771D"/>
    <w:rsid w:val="00AE095D"/>
    <w:rsid w:val="00AE201D"/>
    <w:rsid w:val="00AE2936"/>
    <w:rsid w:val="00AE581B"/>
    <w:rsid w:val="00AE5E34"/>
    <w:rsid w:val="00AF204B"/>
    <w:rsid w:val="00B04859"/>
    <w:rsid w:val="00B115A5"/>
    <w:rsid w:val="00B1179B"/>
    <w:rsid w:val="00B140C0"/>
    <w:rsid w:val="00B21E8B"/>
    <w:rsid w:val="00B24948"/>
    <w:rsid w:val="00B24EE7"/>
    <w:rsid w:val="00B27E55"/>
    <w:rsid w:val="00B3165A"/>
    <w:rsid w:val="00B316BE"/>
    <w:rsid w:val="00B32A86"/>
    <w:rsid w:val="00B34CF6"/>
    <w:rsid w:val="00B44557"/>
    <w:rsid w:val="00B45524"/>
    <w:rsid w:val="00B544EE"/>
    <w:rsid w:val="00B550B7"/>
    <w:rsid w:val="00B62AC8"/>
    <w:rsid w:val="00B657D8"/>
    <w:rsid w:val="00B7328B"/>
    <w:rsid w:val="00B85A3E"/>
    <w:rsid w:val="00B9160C"/>
    <w:rsid w:val="00B95186"/>
    <w:rsid w:val="00BB0689"/>
    <w:rsid w:val="00BB1B1E"/>
    <w:rsid w:val="00BC5CA0"/>
    <w:rsid w:val="00BD7B29"/>
    <w:rsid w:val="00C0394C"/>
    <w:rsid w:val="00C04B58"/>
    <w:rsid w:val="00C1287C"/>
    <w:rsid w:val="00C14708"/>
    <w:rsid w:val="00C16FE7"/>
    <w:rsid w:val="00C20755"/>
    <w:rsid w:val="00C30AA4"/>
    <w:rsid w:val="00C3285E"/>
    <w:rsid w:val="00C40D7F"/>
    <w:rsid w:val="00C4737C"/>
    <w:rsid w:val="00C512CA"/>
    <w:rsid w:val="00C52A51"/>
    <w:rsid w:val="00C6281E"/>
    <w:rsid w:val="00C65E71"/>
    <w:rsid w:val="00C675B8"/>
    <w:rsid w:val="00C720DE"/>
    <w:rsid w:val="00C737AF"/>
    <w:rsid w:val="00C77065"/>
    <w:rsid w:val="00C77F89"/>
    <w:rsid w:val="00C801BB"/>
    <w:rsid w:val="00C80B10"/>
    <w:rsid w:val="00C836C6"/>
    <w:rsid w:val="00C83CD0"/>
    <w:rsid w:val="00C85CB3"/>
    <w:rsid w:val="00C93391"/>
    <w:rsid w:val="00CA1529"/>
    <w:rsid w:val="00CA403F"/>
    <w:rsid w:val="00CA46D5"/>
    <w:rsid w:val="00CA67A9"/>
    <w:rsid w:val="00CB57FD"/>
    <w:rsid w:val="00CB67E0"/>
    <w:rsid w:val="00CC0747"/>
    <w:rsid w:val="00CC2E7B"/>
    <w:rsid w:val="00CD07DC"/>
    <w:rsid w:val="00CD159D"/>
    <w:rsid w:val="00CE0596"/>
    <w:rsid w:val="00CE1D28"/>
    <w:rsid w:val="00CE76CC"/>
    <w:rsid w:val="00CF0ABC"/>
    <w:rsid w:val="00CF24A9"/>
    <w:rsid w:val="00CF5F5C"/>
    <w:rsid w:val="00D01ACA"/>
    <w:rsid w:val="00D05081"/>
    <w:rsid w:val="00D133F8"/>
    <w:rsid w:val="00D163C2"/>
    <w:rsid w:val="00D534A2"/>
    <w:rsid w:val="00D604DE"/>
    <w:rsid w:val="00D679B7"/>
    <w:rsid w:val="00D82459"/>
    <w:rsid w:val="00D834EE"/>
    <w:rsid w:val="00D838B7"/>
    <w:rsid w:val="00D926AB"/>
    <w:rsid w:val="00DA465C"/>
    <w:rsid w:val="00DB5060"/>
    <w:rsid w:val="00DC1132"/>
    <w:rsid w:val="00DC78B6"/>
    <w:rsid w:val="00DD299E"/>
    <w:rsid w:val="00DD7604"/>
    <w:rsid w:val="00DE3ED3"/>
    <w:rsid w:val="00DE6432"/>
    <w:rsid w:val="00DE647C"/>
    <w:rsid w:val="00E007C1"/>
    <w:rsid w:val="00E113DE"/>
    <w:rsid w:val="00E12D16"/>
    <w:rsid w:val="00E14E53"/>
    <w:rsid w:val="00E15985"/>
    <w:rsid w:val="00E16DB8"/>
    <w:rsid w:val="00E17F52"/>
    <w:rsid w:val="00E2227E"/>
    <w:rsid w:val="00E228BB"/>
    <w:rsid w:val="00E22D42"/>
    <w:rsid w:val="00E23204"/>
    <w:rsid w:val="00E24396"/>
    <w:rsid w:val="00E24D60"/>
    <w:rsid w:val="00E31658"/>
    <w:rsid w:val="00E46AE3"/>
    <w:rsid w:val="00E5622C"/>
    <w:rsid w:val="00E60E05"/>
    <w:rsid w:val="00E61D41"/>
    <w:rsid w:val="00E64B2C"/>
    <w:rsid w:val="00E661B5"/>
    <w:rsid w:val="00E71781"/>
    <w:rsid w:val="00E753AE"/>
    <w:rsid w:val="00E77D52"/>
    <w:rsid w:val="00E83392"/>
    <w:rsid w:val="00E921B6"/>
    <w:rsid w:val="00E928DE"/>
    <w:rsid w:val="00EA48CC"/>
    <w:rsid w:val="00EA64FA"/>
    <w:rsid w:val="00EA6522"/>
    <w:rsid w:val="00EB21A7"/>
    <w:rsid w:val="00EB3690"/>
    <w:rsid w:val="00EB371C"/>
    <w:rsid w:val="00EB7D21"/>
    <w:rsid w:val="00EC3386"/>
    <w:rsid w:val="00EC421C"/>
    <w:rsid w:val="00ED2664"/>
    <w:rsid w:val="00EE019C"/>
    <w:rsid w:val="00EE6415"/>
    <w:rsid w:val="00EF078D"/>
    <w:rsid w:val="00EF341F"/>
    <w:rsid w:val="00EF5230"/>
    <w:rsid w:val="00F05F62"/>
    <w:rsid w:val="00F15A61"/>
    <w:rsid w:val="00F30FB4"/>
    <w:rsid w:val="00F31EA4"/>
    <w:rsid w:val="00F32AC8"/>
    <w:rsid w:val="00F44FA1"/>
    <w:rsid w:val="00F51BB6"/>
    <w:rsid w:val="00F531ED"/>
    <w:rsid w:val="00F533BE"/>
    <w:rsid w:val="00F61C09"/>
    <w:rsid w:val="00F672C7"/>
    <w:rsid w:val="00F7060B"/>
    <w:rsid w:val="00F86421"/>
    <w:rsid w:val="00F8726C"/>
    <w:rsid w:val="00F91046"/>
    <w:rsid w:val="00FA30FF"/>
    <w:rsid w:val="00FB652D"/>
    <w:rsid w:val="00FB67FE"/>
    <w:rsid w:val="00FB6C03"/>
    <w:rsid w:val="00FD0C64"/>
    <w:rsid w:val="00FD3946"/>
    <w:rsid w:val="00FD59B4"/>
    <w:rsid w:val="00FD62E2"/>
    <w:rsid w:val="00FE2CE0"/>
    <w:rsid w:val="00FE518A"/>
    <w:rsid w:val="00FE6593"/>
    <w:rsid w:val="00FF1FF3"/>
    <w:rsid w:val="00FF599A"/>
    <w:rsid w:val="00FF73B8"/>
    <w:rsid w:val="00FF77A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D57D5"/>
  <w15:chartTrackingRefBased/>
  <w15:docId w15:val="{9B3F3184-F49C-448E-9BB0-14BD1880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0AA4"/>
    <w:rPr>
      <w:rFonts w:ascii="Segoe" w:hAnsi="Segoe"/>
      <w:sz w:val="22"/>
      <w:szCs w:val="24"/>
      <w:lang w:eastAsia="en-US"/>
    </w:rPr>
  </w:style>
  <w:style w:type="paragraph" w:styleId="Titre1">
    <w:name w:val="heading 1"/>
    <w:basedOn w:val="En-tte"/>
    <w:next w:val="Normal"/>
    <w:link w:val="Titre1Car"/>
    <w:rsid w:val="00CF24A9"/>
    <w:pPr>
      <w:tabs>
        <w:tab w:val="clear" w:pos="4320"/>
        <w:tab w:val="clear" w:pos="8640"/>
      </w:tabs>
      <w:spacing w:before="360" w:after="220"/>
      <w:ind w:firstLine="720"/>
      <w:jc w:val="center"/>
      <w:outlineLvl w:val="0"/>
    </w:pPr>
    <w:rPr>
      <w:rFonts w:ascii="Segoe Pro" w:hAnsi="Segoe Pro" w:cs="Segoe UI"/>
      <w:b/>
      <w:cap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40365"/>
    <w:pPr>
      <w:tabs>
        <w:tab w:val="center" w:pos="4320"/>
        <w:tab w:val="right" w:pos="8640"/>
      </w:tabs>
    </w:pPr>
  </w:style>
  <w:style w:type="character" w:styleId="Hyperlien">
    <w:name w:val="Hyperlink"/>
    <w:rsid w:val="00340365"/>
    <w:rPr>
      <w:color w:val="0000FF"/>
      <w:u w:val="single"/>
    </w:rPr>
  </w:style>
  <w:style w:type="table" w:styleId="Grilledutableau">
    <w:name w:val="Table Grid"/>
    <w:basedOn w:val="TableauNormal"/>
    <w:rsid w:val="00340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00A55849"/>
    <w:rPr>
      <w:sz w:val="24"/>
      <w:szCs w:val="24"/>
      <w:lang w:eastAsia="en-US"/>
    </w:rPr>
  </w:style>
  <w:style w:type="character" w:customStyle="1" w:styleId="Titre1Car">
    <w:name w:val="Titre 1 Car"/>
    <w:basedOn w:val="Policepardfaut"/>
    <w:link w:val="Titre1"/>
    <w:rsid w:val="00CF24A9"/>
    <w:rPr>
      <w:rFonts w:ascii="Segoe Pro" w:hAnsi="Segoe Pro" w:cs="Segoe UI"/>
      <w:b/>
      <w:caps/>
      <w:sz w:val="24"/>
      <w:szCs w:val="24"/>
      <w:lang w:val="fr-FR" w:eastAsia="en-US"/>
    </w:rPr>
  </w:style>
  <w:style w:type="paragraph" w:customStyle="1" w:styleId="Listeniveau2">
    <w:name w:val="Liste à niveau 2"/>
    <w:basedOn w:val="En-tte"/>
    <w:link w:val="Listeniveau2Car"/>
    <w:qFormat/>
    <w:rsid w:val="00935F5F"/>
    <w:pPr>
      <w:numPr>
        <w:ilvl w:val="1"/>
        <w:numId w:val="15"/>
      </w:numPr>
      <w:tabs>
        <w:tab w:val="clear" w:pos="4320"/>
        <w:tab w:val="clear" w:pos="8640"/>
        <w:tab w:val="left" w:pos="1620"/>
      </w:tabs>
      <w:spacing w:before="240" w:after="240"/>
      <w:ind w:left="1620" w:right="720" w:hanging="547"/>
    </w:pPr>
    <w:rPr>
      <w:rFonts w:ascii="Segoe Pro" w:hAnsi="Segoe Pro" w:cs="Segoe UI"/>
      <w:szCs w:val="22"/>
      <w:lang w:val="fr-FR"/>
    </w:rPr>
  </w:style>
  <w:style w:type="paragraph" w:customStyle="1" w:styleId="Listeniveau3">
    <w:name w:val="Liste à niveau 3"/>
    <w:basedOn w:val="Listeniveau2"/>
    <w:link w:val="Listeniveau3Car"/>
    <w:qFormat/>
    <w:rsid w:val="000A1910"/>
    <w:pPr>
      <w:numPr>
        <w:ilvl w:val="2"/>
      </w:numPr>
      <w:ind w:left="2246" w:hanging="720"/>
    </w:pPr>
  </w:style>
  <w:style w:type="character" w:customStyle="1" w:styleId="Listeniveau2Car">
    <w:name w:val="Liste à niveau 2 Car"/>
    <w:basedOn w:val="En-tteCar"/>
    <w:link w:val="Listeniveau2"/>
    <w:rsid w:val="00935F5F"/>
    <w:rPr>
      <w:rFonts w:ascii="Segoe Pro" w:hAnsi="Segoe Pro" w:cs="Segoe UI"/>
      <w:sz w:val="22"/>
      <w:szCs w:val="22"/>
      <w:lang w:val="fr-FR" w:eastAsia="en-US"/>
    </w:rPr>
  </w:style>
  <w:style w:type="paragraph" w:styleId="Sous-titre">
    <w:name w:val="Subtitle"/>
    <w:aliases w:val="Liste à niveau 1"/>
    <w:basedOn w:val="En-tte"/>
    <w:next w:val="Normal"/>
    <w:link w:val="Sous-titreCar"/>
    <w:autoRedefine/>
    <w:qFormat/>
    <w:rsid w:val="00AD5CDC"/>
    <w:pPr>
      <w:numPr>
        <w:numId w:val="15"/>
      </w:numPr>
      <w:tabs>
        <w:tab w:val="clear" w:pos="4320"/>
        <w:tab w:val="clear" w:pos="8640"/>
        <w:tab w:val="left" w:pos="1080"/>
      </w:tabs>
      <w:spacing w:before="240" w:after="240"/>
      <w:ind w:left="1080" w:right="720"/>
      <w:outlineLvl w:val="1"/>
    </w:pPr>
    <w:rPr>
      <w:rFonts w:ascii="Segoe Pro" w:hAnsi="Segoe Pro" w:cs="Segoe UI"/>
      <w:b/>
      <w:caps/>
      <w:szCs w:val="22"/>
      <w:lang w:val="fr-FR"/>
    </w:rPr>
  </w:style>
  <w:style w:type="character" w:customStyle="1" w:styleId="Listeniveau3Car">
    <w:name w:val="Liste à niveau 3 Car"/>
    <w:basedOn w:val="Listeniveau2Car"/>
    <w:link w:val="Listeniveau3"/>
    <w:rsid w:val="000A1910"/>
    <w:rPr>
      <w:rFonts w:ascii="Segoe Pro" w:hAnsi="Segoe Pro" w:cs="Segoe UI"/>
      <w:sz w:val="22"/>
      <w:szCs w:val="22"/>
      <w:lang w:val="fr-FR" w:eastAsia="en-US"/>
    </w:rPr>
  </w:style>
  <w:style w:type="character" w:customStyle="1" w:styleId="Sous-titreCar">
    <w:name w:val="Sous-titre Car"/>
    <w:aliases w:val="Liste à niveau 1 Car"/>
    <w:basedOn w:val="Policepardfaut"/>
    <w:link w:val="Sous-titre"/>
    <w:rsid w:val="00AD5CDC"/>
    <w:rPr>
      <w:rFonts w:ascii="Segoe Pro" w:hAnsi="Segoe Pro" w:cs="Segoe UI"/>
      <w:b/>
      <w:caps/>
      <w:sz w:val="22"/>
      <w:szCs w:val="22"/>
      <w:lang w:val="fr-FR" w:eastAsia="en-US"/>
    </w:rPr>
  </w:style>
  <w:style w:type="paragraph" w:customStyle="1" w:styleId="StyleEn-tteSegoe14ptGrasBlancGauche05Droite">
    <w:name w:val="Style En-tête + Segoe 14 pt Gras Blanc Gauche :  05&quot; Droite :..."/>
    <w:basedOn w:val="En-tte"/>
    <w:rsid w:val="00CF24A9"/>
    <w:pPr>
      <w:shd w:val="clear" w:color="auto" w:fill="830083"/>
      <w:ind w:left="720" w:right="720"/>
    </w:pPr>
    <w:rPr>
      <w:b/>
      <w:bCs/>
      <w:caps/>
      <w:color w:val="FFFFFF"/>
      <w:sz w:val="28"/>
      <w:szCs w:val="20"/>
    </w:rPr>
  </w:style>
  <w:style w:type="paragraph" w:customStyle="1" w:styleId="Stylepieddepage">
    <w:name w:val="Style pied de page"/>
    <w:basedOn w:val="Normal"/>
    <w:link w:val="StylepieddepageCar"/>
    <w:qFormat/>
    <w:rsid w:val="00C512CA"/>
    <w:pPr>
      <w:ind w:right="720"/>
      <w:jc w:val="right"/>
    </w:pPr>
    <w:rPr>
      <w:sz w:val="18"/>
      <w:szCs w:val="18"/>
    </w:rPr>
  </w:style>
  <w:style w:type="character" w:customStyle="1" w:styleId="StylepieddepageCar">
    <w:name w:val="Style pied de page Car"/>
    <w:basedOn w:val="Policepardfaut"/>
    <w:link w:val="Stylepieddepage"/>
    <w:rsid w:val="00C512CA"/>
    <w:rPr>
      <w:rFonts w:ascii="Segoe" w:hAnsi="Segoe"/>
      <w:sz w:val="18"/>
      <w:szCs w:val="18"/>
      <w:lang w:eastAsia="en-US"/>
    </w:rPr>
  </w:style>
  <w:style w:type="paragraph" w:customStyle="1" w:styleId="StyleTitre1Droite05">
    <w:name w:val="Style Titre 1 + Droite :  05&quot;"/>
    <w:basedOn w:val="Titre1"/>
    <w:autoRedefine/>
    <w:rsid w:val="006562C2"/>
    <w:pPr>
      <w:ind w:right="720"/>
    </w:pPr>
    <w:rPr>
      <w:rFonts w:cs="Times New Roman"/>
      <w:bCs/>
      <w:sz w:val="24"/>
      <w:szCs w:val="20"/>
    </w:rPr>
  </w:style>
  <w:style w:type="paragraph" w:styleId="Paragraphedeliste">
    <w:name w:val="List Paragraph"/>
    <w:basedOn w:val="Normal"/>
    <w:uiPriority w:val="34"/>
    <w:qFormat/>
    <w:rsid w:val="00935F5F"/>
    <w:pPr>
      <w:ind w:left="708"/>
    </w:pPr>
    <w:rPr>
      <w:rFonts w:ascii="Times New Roman" w:hAnsi="Times New Roman"/>
      <w:sz w:val="24"/>
      <w:lang w:val="en-US"/>
    </w:rPr>
  </w:style>
  <w:style w:type="paragraph" w:customStyle="1" w:styleId="Listeniveau4">
    <w:name w:val="Liste à niveau 4"/>
    <w:basedOn w:val="Liste4"/>
    <w:qFormat/>
    <w:rsid w:val="00ED2664"/>
    <w:pPr>
      <w:tabs>
        <w:tab w:val="num" w:pos="360"/>
        <w:tab w:val="num" w:pos="2880"/>
        <w:tab w:val="left" w:pos="3240"/>
      </w:tabs>
      <w:ind w:right="720"/>
    </w:pPr>
  </w:style>
  <w:style w:type="paragraph" w:styleId="Liste4">
    <w:name w:val="List 4"/>
    <w:basedOn w:val="Normal"/>
    <w:rsid w:val="00ED2664"/>
    <w:pPr>
      <w:ind w:left="1132" w:hanging="283"/>
      <w:contextualSpacing/>
    </w:pPr>
  </w:style>
  <w:style w:type="character" w:styleId="Mentionnonrsolue">
    <w:name w:val="Unresolved Mention"/>
    <w:basedOn w:val="Policepardfaut"/>
    <w:uiPriority w:val="99"/>
    <w:semiHidden/>
    <w:unhideWhenUsed/>
    <w:rsid w:val="006D06A8"/>
    <w:rPr>
      <w:color w:val="605E5C"/>
      <w:shd w:val="clear" w:color="auto" w:fill="E1DFDD"/>
    </w:rPr>
  </w:style>
  <w:style w:type="character" w:styleId="Lienvisit">
    <w:name w:val="FollowedHyperlink"/>
    <w:basedOn w:val="Policepardfaut"/>
    <w:rsid w:val="00A76B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fr/lois/reglement/r24083"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focsc.org/wp-content/uploads/2019/10/Guide_gouvernance-AFOCSC-FINAL.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tario.ca/fr/lois/reglement/r2408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ontario.ca/fr/lois/loi/90e0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ntario.ca/fr/lois/reglement/230224"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raine.mainville\Desktop\Politique%20gabari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15819-A5C8-49BB-A1BC-4EE4F3554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Politique gabarit</Template>
  <TotalTime>27</TotalTime>
  <Pages>3</Pages>
  <Words>1020</Words>
  <Characters>6092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GOU 21.0 Évaluation du rendement du directeur de l'éducation</vt:lpstr>
    </vt:vector>
  </TitlesOfParts>
  <Company>Home</Company>
  <LinksUpToDate>false</LinksUpToDate>
  <CharactersWithSpaces>7098</CharactersWithSpaces>
  <SharedDoc>false</SharedDoc>
  <HLinks>
    <vt:vector size="12" baseType="variant">
      <vt:variant>
        <vt:i4>68</vt:i4>
      </vt:variant>
      <vt:variant>
        <vt:i4>3</vt:i4>
      </vt:variant>
      <vt:variant>
        <vt:i4>0</vt:i4>
      </vt:variant>
      <vt:variant>
        <vt:i4>5</vt:i4>
      </vt:variant>
      <vt:variant>
        <vt:lpwstr>http://docs.nouvelon.ca/doc/DA/ADM03_02_02.pdf</vt:lpwstr>
      </vt:variant>
      <vt:variant>
        <vt:lpwstr/>
      </vt:variant>
      <vt:variant>
        <vt:i4>196676</vt:i4>
      </vt:variant>
      <vt:variant>
        <vt:i4>0</vt:i4>
      </vt:variant>
      <vt:variant>
        <vt:i4>0</vt:i4>
      </vt:variant>
      <vt:variant>
        <vt:i4>5</vt:i4>
      </vt:variant>
      <vt:variant>
        <vt:lpwstr>http://docs.nouvelon.ca/doc/DA/ADM03_02_01.pdf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Évaluation du rendement du directeur de l'éducation</dc:title>
  <dc:subject>Politique d'évaluation du rendement du directeur de l'éducation</dc:subject>
  <dc:creator>Conseil scolaire catholique Nouvelon</dc:creator>
  <cp:keywords/>
  <cp:lastModifiedBy>Lorraine Mainville</cp:lastModifiedBy>
  <cp:revision>36</cp:revision>
  <cp:lastPrinted>2020-11-11T17:38:00Z</cp:lastPrinted>
  <dcterms:created xsi:type="dcterms:W3CDTF">2024-09-07T19:58:00Z</dcterms:created>
  <dcterms:modified xsi:type="dcterms:W3CDTF">2025-02-26T16:27:00Z</dcterms:modified>
</cp:coreProperties>
</file>