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71339AA1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F32BA1">
        <w:rPr>
          <w:rStyle w:val="usercontent"/>
          <w:rFonts w:ascii="Segoe Pro" w:hAnsi="Segoe Pro"/>
          <w:color w:val="2C5697"/>
        </w:rPr>
        <w:t>27 janvier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368A143B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F32BA1">
        <w:rPr>
          <w:rFonts w:ascii="Segoe Pro" w:hAnsi="Segoe Pro"/>
        </w:rPr>
        <w:t>27 janvier</w:t>
      </w:r>
      <w:r w:rsidR="00BD635B" w:rsidRPr="002067FC">
        <w:rPr>
          <w:rFonts w:ascii="Segoe Pro" w:hAnsi="Segoe Pro"/>
        </w:rPr>
        <w:t xml:space="preserve"> 202</w:t>
      </w:r>
      <w:r w:rsidR="0070430B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44554BF9" w14:textId="0EEB5DCB" w:rsidR="00A62251" w:rsidRPr="00187947" w:rsidRDefault="00187947" w:rsidP="007C2AC1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  <w:bCs/>
        </w:rPr>
      </w:pPr>
      <w:r>
        <w:rPr>
          <w:rFonts w:ascii="Segoe Pro" w:hAnsi="Segoe Pro" w:cs="Segoe-Bold"/>
        </w:rPr>
        <w:t> Le</w:t>
      </w:r>
      <w:r w:rsidRPr="00187947">
        <w:rPr>
          <w:rFonts w:ascii="Segoe Pro" w:hAnsi="Segoe Pro"/>
          <w:bCs/>
        </w:rPr>
        <w:t xml:space="preserve"> Conseil entérine la nomination de </w:t>
      </w:r>
      <w:r w:rsidRPr="00187947">
        <w:rPr>
          <w:rFonts w:ascii="Segoe Pro" w:hAnsi="Segoe Pro" w:cs="Segoe UI"/>
          <w:bCs/>
        </w:rPr>
        <w:t>M</w:t>
      </w:r>
      <w:r w:rsidRPr="00187947">
        <w:rPr>
          <w:rFonts w:ascii="Segoe Pro" w:hAnsi="Segoe Pro" w:cs="Segoe UI"/>
          <w:bCs/>
          <w:vertAlign w:val="superscript"/>
        </w:rPr>
        <w:t>me</w:t>
      </w:r>
      <w:r w:rsidRPr="00187947">
        <w:rPr>
          <w:rFonts w:ascii="Segoe Pro" w:hAnsi="Segoe Pro"/>
          <w:bCs/>
        </w:rPr>
        <w:t xml:space="preserve"> Lyse-Anne Papineau au poste de conseillère scolaire de la Zone 7 : St-Charles, Markstay-Warren, Rivière des Français pour combler le poste vacant.</w:t>
      </w:r>
    </w:p>
    <w:p w14:paraId="41359D32" w14:textId="66E158C0" w:rsidR="00187947" w:rsidRPr="00B55AB0" w:rsidRDefault="00187947" w:rsidP="007C2AC1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  <w:bCs/>
        </w:rPr>
      </w:pPr>
      <w:r>
        <w:rPr>
          <w:rFonts w:ascii="Segoe Pro" w:hAnsi="Segoe Pro"/>
          <w:bCs/>
        </w:rPr>
        <w:t>Les politiques sui</w:t>
      </w:r>
      <w:r w:rsidR="00B55AB0">
        <w:rPr>
          <w:rFonts w:ascii="Segoe Pro" w:hAnsi="Segoe Pro"/>
          <w:bCs/>
        </w:rPr>
        <w:t>vantes sont approuvées selon le cycle annuel de révision :</w:t>
      </w:r>
    </w:p>
    <w:p w14:paraId="109D7C37" w14:textId="77777777" w:rsidR="005843E8" w:rsidRPr="005843E8" w:rsidRDefault="005843E8" w:rsidP="00AE352A">
      <w:pPr>
        <w:pStyle w:val="Style1"/>
        <w:numPr>
          <w:ilvl w:val="0"/>
          <w:numId w:val="24"/>
        </w:numPr>
        <w:spacing w:before="0" w:after="0"/>
        <w:rPr>
          <w:rFonts w:ascii="Segoe Pro" w:hAnsi="Segoe Pro" w:cs="Segoe-Bold"/>
          <w:bCs/>
        </w:rPr>
      </w:pPr>
      <w:r w:rsidRPr="005843E8">
        <w:rPr>
          <w:rFonts w:ascii="Segoe Pro" w:hAnsi="Segoe Pro" w:cs="Segoe-Bold"/>
          <w:bCs/>
        </w:rPr>
        <w:t>GOU 12.0 Réunions électroniques et présence aux réunions (révision)</w:t>
      </w:r>
    </w:p>
    <w:p w14:paraId="04B2F418" w14:textId="77777777" w:rsidR="005843E8" w:rsidRPr="005843E8" w:rsidRDefault="005843E8" w:rsidP="00AE352A">
      <w:pPr>
        <w:pStyle w:val="Style1"/>
        <w:numPr>
          <w:ilvl w:val="0"/>
          <w:numId w:val="24"/>
        </w:numPr>
        <w:spacing w:before="0" w:after="0"/>
        <w:rPr>
          <w:rFonts w:ascii="Segoe Pro" w:hAnsi="Segoe Pro" w:cs="Segoe-Bold"/>
          <w:bCs/>
        </w:rPr>
      </w:pPr>
      <w:r w:rsidRPr="005843E8">
        <w:rPr>
          <w:rFonts w:ascii="Segoe Pro" w:hAnsi="Segoe Pro" w:cs="Segoe-Bold"/>
          <w:bCs/>
        </w:rPr>
        <w:t xml:space="preserve">GOU 13.0 Réunions publiques et accès aux archives du Conseil (statu quo) </w:t>
      </w:r>
    </w:p>
    <w:p w14:paraId="604AF357" w14:textId="77777777" w:rsidR="005843E8" w:rsidRPr="005843E8" w:rsidRDefault="005843E8" w:rsidP="00AE352A">
      <w:pPr>
        <w:pStyle w:val="Style1"/>
        <w:numPr>
          <w:ilvl w:val="0"/>
          <w:numId w:val="24"/>
        </w:numPr>
        <w:spacing w:before="0" w:after="0"/>
        <w:rPr>
          <w:rFonts w:ascii="Segoe Pro" w:hAnsi="Segoe Pro" w:cs="Segoe-Bold"/>
          <w:bCs/>
        </w:rPr>
      </w:pPr>
      <w:r w:rsidRPr="005843E8">
        <w:rPr>
          <w:rFonts w:ascii="Segoe Pro" w:hAnsi="Segoe Pro" w:cs="Segoe-Bold"/>
          <w:bCs/>
        </w:rPr>
        <w:t>GOU 14.0 Présentation devant le Conseil ou un comité du Conseil (statu quo)</w:t>
      </w:r>
    </w:p>
    <w:p w14:paraId="0C11D7C2" w14:textId="68A5EC3B" w:rsidR="00B55AB0" w:rsidRDefault="005843E8" w:rsidP="00AE352A">
      <w:pPr>
        <w:pStyle w:val="Style1"/>
        <w:numPr>
          <w:ilvl w:val="0"/>
          <w:numId w:val="24"/>
        </w:numPr>
        <w:spacing w:before="0" w:after="0"/>
        <w:rPr>
          <w:rFonts w:ascii="Segoe Pro" w:hAnsi="Segoe Pro" w:cs="Segoe-Bold"/>
          <w:bCs/>
        </w:rPr>
      </w:pPr>
      <w:r w:rsidRPr="005843E8">
        <w:rPr>
          <w:rFonts w:ascii="Segoe Pro" w:hAnsi="Segoe Pro" w:cs="Segoe-Bold"/>
          <w:bCs/>
        </w:rPr>
        <w:t>GOU 23.0 Communications et promotion (statu quo)</w:t>
      </w:r>
    </w:p>
    <w:p w14:paraId="76528E48" w14:textId="779942D6" w:rsidR="00AE352A" w:rsidRPr="00AE352A" w:rsidRDefault="00AE352A" w:rsidP="00AE352A">
      <w:pPr>
        <w:pStyle w:val="Style1"/>
        <w:numPr>
          <w:ilvl w:val="0"/>
          <w:numId w:val="24"/>
        </w:numPr>
        <w:spacing w:before="0" w:after="0"/>
        <w:rPr>
          <w:rFonts w:cs="Segoe-Bold"/>
        </w:rPr>
      </w:pPr>
      <w:r w:rsidRPr="00AE352A">
        <w:rPr>
          <w:rFonts w:ascii="Segoe Pro" w:hAnsi="Segoe Pro" w:cs="Segoe-Bold"/>
          <w:bCs/>
        </w:rPr>
        <w:t>GOU 33.0 Engagement envers les partenaires et les communautés</w:t>
      </w:r>
      <w:r>
        <w:rPr>
          <w:rFonts w:ascii="Segoe Pro" w:hAnsi="Segoe Pro" w:cs="Segoe-Bold"/>
          <w:bCs/>
        </w:rPr>
        <w:t xml:space="preserve"> (statu quo)</w:t>
      </w:r>
    </w:p>
    <w:p w14:paraId="582945C2" w14:textId="55DB2263" w:rsidR="00AE352A" w:rsidRPr="00AE352A" w:rsidRDefault="00AE352A" w:rsidP="00AE352A">
      <w:pPr>
        <w:pStyle w:val="Style1"/>
        <w:numPr>
          <w:ilvl w:val="0"/>
          <w:numId w:val="24"/>
        </w:numPr>
        <w:spacing w:before="0" w:after="0"/>
        <w:rPr>
          <w:rFonts w:cs="Segoe-Bold"/>
        </w:rPr>
      </w:pPr>
      <w:r w:rsidRPr="00AE352A">
        <w:rPr>
          <w:rFonts w:cs="Segoe-Bold"/>
        </w:rPr>
        <w:t xml:space="preserve">GOU 38.0 </w:t>
      </w:r>
      <w:r w:rsidRPr="00AE352A">
        <w:rPr>
          <w:rFonts w:ascii="Segoe Pro" w:hAnsi="Segoe Pro" w:cs="Segoe-Bold"/>
          <w:bCs/>
        </w:rPr>
        <w:t>Indemnisation</w:t>
      </w:r>
      <w:r w:rsidRPr="00AE352A">
        <w:rPr>
          <w:rFonts w:cs="Segoe-Bold"/>
        </w:rPr>
        <w:t xml:space="preserve"> des membres du Conseil et des employés</w:t>
      </w:r>
      <w:r>
        <w:rPr>
          <w:rFonts w:cs="Segoe-Bold"/>
        </w:rPr>
        <w:t xml:space="preserve"> (statu quo)</w:t>
      </w:r>
    </w:p>
    <w:p w14:paraId="4A609575" w14:textId="78164EB6" w:rsidR="00AE352A" w:rsidRPr="00AE352A" w:rsidRDefault="00AE352A" w:rsidP="00AE352A">
      <w:pPr>
        <w:pStyle w:val="Style1"/>
        <w:numPr>
          <w:ilvl w:val="0"/>
          <w:numId w:val="24"/>
        </w:numPr>
        <w:spacing w:before="0" w:after="0"/>
        <w:rPr>
          <w:rFonts w:cs="Segoe-Bold"/>
        </w:rPr>
      </w:pPr>
      <w:r w:rsidRPr="00AE352A">
        <w:rPr>
          <w:rFonts w:cs="Segoe-Bold"/>
        </w:rPr>
        <w:t xml:space="preserve">GOU 40.0 </w:t>
      </w:r>
      <w:r w:rsidRPr="00AE352A">
        <w:rPr>
          <w:rFonts w:ascii="Segoe Pro" w:hAnsi="Segoe Pro" w:cs="Segoe-Bold"/>
          <w:bCs/>
        </w:rPr>
        <w:t>Protection</w:t>
      </w:r>
      <w:r w:rsidRPr="00AE352A">
        <w:rPr>
          <w:rFonts w:cs="Segoe-Bold"/>
        </w:rPr>
        <w:t xml:space="preserve"> des actifs</w:t>
      </w:r>
      <w:r>
        <w:rPr>
          <w:rFonts w:cs="Segoe-Bold"/>
        </w:rPr>
        <w:t xml:space="preserve"> (statu quo)</w:t>
      </w:r>
    </w:p>
    <w:p w14:paraId="21323816" w14:textId="7406A890" w:rsidR="005843E8" w:rsidRPr="00094FEF" w:rsidRDefault="00FF5BAD" w:rsidP="00094FE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  <w:bCs/>
        </w:rPr>
      </w:pPr>
      <w:r>
        <w:rPr>
          <w:rFonts w:ascii="Segoe Pro" w:hAnsi="Segoe Pro" w:cs="Segoe-Bold"/>
          <w:bCs/>
        </w:rPr>
        <w:t>Les élèves conseillères mettent en valeur les belles activités</w:t>
      </w:r>
      <w:r w:rsidR="00E716D0">
        <w:rPr>
          <w:rFonts w:ascii="Segoe Pro" w:hAnsi="Segoe Pro" w:cs="Segoe-Bold"/>
          <w:bCs/>
        </w:rPr>
        <w:t xml:space="preserve"> culturelles, pastorales et sportives</w:t>
      </w:r>
      <w:r>
        <w:rPr>
          <w:rFonts w:ascii="Segoe Pro" w:hAnsi="Segoe Pro" w:cs="Segoe-Bold"/>
          <w:bCs/>
        </w:rPr>
        <w:t xml:space="preserve"> ayant </w:t>
      </w:r>
      <w:r w:rsidR="007A400C">
        <w:rPr>
          <w:rFonts w:ascii="Segoe Pro" w:hAnsi="Segoe Pro" w:cs="Segoe-Bold"/>
          <w:bCs/>
        </w:rPr>
        <w:t>eu</w:t>
      </w:r>
      <w:r>
        <w:rPr>
          <w:rFonts w:ascii="Segoe Pro" w:hAnsi="Segoe Pro" w:cs="Segoe-Bold"/>
          <w:bCs/>
        </w:rPr>
        <w:t xml:space="preserve"> lieu dans nos écoles secondaires catholiques depuis décembre dernier.</w:t>
      </w:r>
      <w:r w:rsidR="00E716D0">
        <w:rPr>
          <w:rFonts w:ascii="Segoe Pro" w:hAnsi="Segoe Pro" w:cs="Segoe-Bold"/>
          <w:bCs/>
        </w:rPr>
        <w:t xml:space="preserve"> </w:t>
      </w:r>
      <w:r w:rsidR="004342D1">
        <w:rPr>
          <w:rFonts w:ascii="Segoe Pro" w:hAnsi="Segoe Pro" w:cs="Segoe-Bold"/>
          <w:bCs/>
        </w:rPr>
        <w:t xml:space="preserve">Les gestes de bienfaisance sont </w:t>
      </w:r>
      <w:r w:rsidR="00BF4674">
        <w:rPr>
          <w:rFonts w:ascii="Segoe Pro" w:hAnsi="Segoe Pro" w:cs="Segoe-Bold"/>
          <w:bCs/>
        </w:rPr>
        <w:t>appréciés des communautés.</w:t>
      </w:r>
    </w:p>
    <w:sectPr w:rsidR="005843E8" w:rsidRPr="00094FEF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1FB8" w14:textId="77777777" w:rsidR="008955A5" w:rsidRDefault="008955A5">
      <w:r>
        <w:separator/>
      </w:r>
    </w:p>
  </w:endnote>
  <w:endnote w:type="continuationSeparator" w:id="0">
    <w:p w14:paraId="019C35A4" w14:textId="77777777" w:rsidR="008955A5" w:rsidRDefault="008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5296" w14:textId="77777777" w:rsidR="008955A5" w:rsidRDefault="008955A5">
      <w:r>
        <w:separator/>
      </w:r>
    </w:p>
  </w:footnote>
  <w:footnote w:type="continuationSeparator" w:id="0">
    <w:p w14:paraId="5EC5B1B4" w14:textId="77777777" w:rsidR="008955A5" w:rsidRDefault="008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ADB0302"/>
    <w:multiLevelType w:val="hybridMultilevel"/>
    <w:tmpl w:val="C9B84A30"/>
    <w:lvl w:ilvl="0" w:tplc="0C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7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56C66"/>
    <w:multiLevelType w:val="hybridMultilevel"/>
    <w:tmpl w:val="112E7B8E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6"/>
  </w:num>
  <w:num w:numId="3" w16cid:durableId="352609596">
    <w:abstractNumId w:val="12"/>
  </w:num>
  <w:num w:numId="4" w16cid:durableId="855270019">
    <w:abstractNumId w:val="5"/>
  </w:num>
  <w:num w:numId="5" w16cid:durableId="191698185">
    <w:abstractNumId w:val="10"/>
  </w:num>
  <w:num w:numId="6" w16cid:durableId="2092047052">
    <w:abstractNumId w:val="3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7"/>
  </w:num>
  <w:num w:numId="10" w16cid:durableId="191772874">
    <w:abstractNumId w:val="3"/>
  </w:num>
  <w:num w:numId="11" w16cid:durableId="720324633">
    <w:abstractNumId w:val="3"/>
  </w:num>
  <w:num w:numId="12" w16cid:durableId="1881437601">
    <w:abstractNumId w:val="3"/>
  </w:num>
  <w:num w:numId="13" w16cid:durableId="874390152">
    <w:abstractNumId w:val="11"/>
  </w:num>
  <w:num w:numId="14" w16cid:durableId="909773181">
    <w:abstractNumId w:val="3"/>
  </w:num>
  <w:num w:numId="15" w16cid:durableId="1523086298">
    <w:abstractNumId w:val="3"/>
  </w:num>
  <w:num w:numId="16" w16cid:durableId="897472996">
    <w:abstractNumId w:val="3"/>
  </w:num>
  <w:num w:numId="17" w16cid:durableId="957953033">
    <w:abstractNumId w:val="3"/>
  </w:num>
  <w:num w:numId="18" w16cid:durableId="1852837266">
    <w:abstractNumId w:val="9"/>
  </w:num>
  <w:num w:numId="19" w16cid:durableId="1348412040">
    <w:abstractNumId w:val="3"/>
  </w:num>
  <w:num w:numId="20" w16cid:durableId="1053426179">
    <w:abstractNumId w:val="3"/>
  </w:num>
  <w:num w:numId="21" w16cid:durableId="1920165213">
    <w:abstractNumId w:val="7"/>
  </w:num>
  <w:num w:numId="22" w16cid:durableId="995500287">
    <w:abstractNumId w:val="2"/>
  </w:num>
  <w:num w:numId="23" w16cid:durableId="355740587">
    <w:abstractNumId w:val="3"/>
  </w:num>
  <w:num w:numId="24" w16cid:durableId="1226452611">
    <w:abstractNumId w:val="8"/>
  </w:num>
  <w:num w:numId="25" w16cid:durableId="20059412">
    <w:abstractNumId w:val="1"/>
  </w:num>
  <w:num w:numId="26" w16cid:durableId="606274494">
    <w:abstractNumId w:val="3"/>
  </w:num>
  <w:num w:numId="27" w16cid:durableId="103897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94FEF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87947"/>
    <w:rsid w:val="001A2B36"/>
    <w:rsid w:val="001A50B2"/>
    <w:rsid w:val="001B2A63"/>
    <w:rsid w:val="001B75F9"/>
    <w:rsid w:val="001C346B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B31B3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342D1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843E8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430B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400C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46B8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962FF"/>
    <w:rsid w:val="00AC1649"/>
    <w:rsid w:val="00AC6FEE"/>
    <w:rsid w:val="00AD5063"/>
    <w:rsid w:val="00AE352A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5AB0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4674"/>
    <w:rsid w:val="00BF50BF"/>
    <w:rsid w:val="00C056D3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06D4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16D0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32BA1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  <w:style w:type="paragraph" w:customStyle="1" w:styleId="4">
    <w:name w:val="4"/>
    <w:rsid w:val="005843E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48</TotalTime>
  <Pages>1</Pages>
  <Words>182</Words>
  <Characters>972</Characters>
  <Application>Microsoft Office Word</Application>
  <DocSecurity>0</DocSecurity>
  <Lines>18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18</cp:revision>
  <cp:lastPrinted>2020-12-07T13:38:00Z</cp:lastPrinted>
  <dcterms:created xsi:type="dcterms:W3CDTF">2025-01-06T16:39:00Z</dcterms:created>
  <dcterms:modified xsi:type="dcterms:W3CDTF">2026-01-28T15:10:00Z</dcterms:modified>
</cp:coreProperties>
</file>